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AF52" w14:textId="482ED16A" w:rsidR="00B700F0" w:rsidRDefault="00DC6881" w:rsidP="00B700F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B700F0" w:rsidRPr="00B700F0">
        <w:rPr>
          <w:rFonts w:ascii="Arial" w:hAnsi="Arial" w:cs="Arial"/>
          <w:b/>
          <w:sz w:val="24"/>
          <w:szCs w:val="24"/>
        </w:rPr>
        <w:t xml:space="preserve"> </w:t>
      </w:r>
      <w:r w:rsidR="00B700F0" w:rsidRPr="00B700F0">
        <w:rPr>
          <w:rFonts w:ascii="Arial" w:hAnsi="Arial" w:cs="Arial"/>
          <w:sz w:val="24"/>
          <w:szCs w:val="24"/>
        </w:rPr>
        <w:t>Departamento Administrativo De Planeación - Subdirección de Información y Caracterización /Sisbén</w:t>
      </w:r>
      <w:r w:rsidR="00B700F0" w:rsidRPr="00894E9E">
        <w:rPr>
          <w:rFonts w:ascii="Arial" w:hAnsi="Arial" w:cs="Arial"/>
          <w:b/>
          <w:sz w:val="24"/>
          <w:szCs w:val="24"/>
        </w:rPr>
        <w:t xml:space="preserve">  </w:t>
      </w:r>
    </w:p>
    <w:p w14:paraId="472498CA" w14:textId="77777777" w:rsidR="0069439D" w:rsidRPr="00894E9E" w:rsidRDefault="0069439D" w:rsidP="00B700F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4D153920" w:rsidR="001D226B" w:rsidRPr="00882CEE" w:rsidRDefault="00B700F0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E0BA4" w:rsidRPr="00882CEE" w14:paraId="3656ABC7" w14:textId="77777777" w:rsidTr="0057157E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AE0BA4" w:rsidRPr="00882CEE" w:rsidRDefault="00AE0BA4" w:rsidP="00AE0BA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</w:tcPr>
          <w:p w14:paraId="4693FCD1" w14:textId="36191C37" w:rsidR="00AE0BA4" w:rsidRPr="00E144D6" w:rsidRDefault="00AE0BA4" w:rsidP="00AE0BA4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Inclusión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personas </w:t>
            </w:r>
            <w:proofErr w:type="spellStart"/>
            <w:r>
              <w:rPr>
                <w:rFonts w:ascii="Arial" w:hAnsi="Arial" w:cs="Arial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la base de </w:t>
            </w:r>
            <w:proofErr w:type="spellStart"/>
            <w:r>
              <w:rPr>
                <w:rFonts w:ascii="Arial" w:hAnsi="Arial" w:cs="Arial"/>
                <w:lang w:val="en-US"/>
              </w:rPr>
              <w:t>datos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Sistema de </w:t>
            </w:r>
            <w:proofErr w:type="spellStart"/>
            <w:r>
              <w:rPr>
                <w:rFonts w:ascii="Arial" w:hAnsi="Arial" w:cs="Arial"/>
                <w:lang w:val="en-US"/>
              </w:rPr>
              <w:t>Identificación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en-US"/>
              </w:rPr>
              <w:t>Clasificación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Potenciales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Beneficiarios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Programas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Sociales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SISBEN.</w:t>
            </w:r>
          </w:p>
        </w:tc>
      </w:tr>
      <w:tr w:rsidR="00AE0BA4" w:rsidRPr="00882CEE" w14:paraId="3C49D1FC" w14:textId="77777777" w:rsidTr="0057157E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AE0BA4" w:rsidRPr="00882CEE" w:rsidRDefault="00AE0BA4" w:rsidP="00AE0BA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</w:tcPr>
          <w:p w14:paraId="08D05B43" w14:textId="79638F50" w:rsidR="00AE0BA4" w:rsidRPr="00E144D6" w:rsidRDefault="00AE0BA4" w:rsidP="00AE0BA4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Obtener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lang w:val="en-US"/>
              </w:rPr>
              <w:t>inclusión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una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persona </w:t>
            </w:r>
            <w:proofErr w:type="spellStart"/>
            <w:r>
              <w:rPr>
                <w:rFonts w:ascii="Arial" w:hAnsi="Arial" w:cs="Arial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lang w:val="en-US"/>
              </w:rPr>
              <w:t>ficha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clasificación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socio-</w:t>
            </w:r>
            <w:proofErr w:type="spellStart"/>
            <w:r>
              <w:rPr>
                <w:rFonts w:ascii="Arial" w:hAnsi="Arial" w:cs="Arial"/>
                <w:lang w:val="en-US"/>
              </w:rPr>
              <w:t>económica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un </w:t>
            </w:r>
            <w:proofErr w:type="spellStart"/>
            <w:r>
              <w:rPr>
                <w:rFonts w:ascii="Arial" w:hAnsi="Arial" w:cs="Arial"/>
                <w:lang w:val="en-US"/>
              </w:rPr>
              <w:t>hogar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existente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la base de </w:t>
            </w:r>
            <w:proofErr w:type="spellStart"/>
            <w:r>
              <w:rPr>
                <w:rFonts w:ascii="Arial" w:hAnsi="Arial" w:cs="Arial"/>
                <w:lang w:val="en-US"/>
              </w:rPr>
              <w:t>datos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SISBEN y </w:t>
            </w:r>
            <w:proofErr w:type="spellStart"/>
            <w:r>
              <w:rPr>
                <w:rFonts w:ascii="Arial" w:hAnsi="Arial" w:cs="Arial"/>
                <w:lang w:val="en-US"/>
              </w:rPr>
              <w:t>pueda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esta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manera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ser un </w:t>
            </w:r>
            <w:proofErr w:type="spellStart"/>
            <w:r>
              <w:rPr>
                <w:rFonts w:ascii="Arial" w:hAnsi="Arial" w:cs="Arial"/>
                <w:lang w:val="en-US"/>
              </w:rPr>
              <w:t>potencial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beneficiario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para acceder a </w:t>
            </w:r>
            <w:proofErr w:type="spellStart"/>
            <w:r>
              <w:rPr>
                <w:rFonts w:ascii="Arial" w:hAnsi="Arial" w:cs="Arial"/>
                <w:lang w:val="en-US"/>
              </w:rPr>
              <w:t>programas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sociales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B5428E0" w14:textId="77777777" w:rsidR="00346553" w:rsidRPr="00CE40D7" w:rsidRDefault="00346553" w:rsidP="00346553">
            <w:pPr>
              <w:pStyle w:val="Sinespaciado"/>
              <w:spacing w:before="60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CE40D7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Oficina del Sisbén de Itagüí</w:t>
            </w:r>
          </w:p>
          <w:p w14:paraId="56B0E6C6" w14:textId="77777777" w:rsidR="00346553" w:rsidRPr="00CE40D7" w:rsidRDefault="00346553" w:rsidP="00346553">
            <w:pPr>
              <w:pStyle w:val="Sinespaciado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CE40D7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Carrera 51 # 54 – 20 Barrio Villa Paula.</w:t>
            </w:r>
          </w:p>
          <w:p w14:paraId="5B922C1E" w14:textId="71163B43" w:rsidR="00346553" w:rsidRPr="00CE40D7" w:rsidRDefault="00346553" w:rsidP="00346553">
            <w:pPr>
              <w:pStyle w:val="Sinespaciado"/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</w:pPr>
            <w:r w:rsidRPr="00CE40D7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Teléfono: </w:t>
            </w:r>
            <w:r w:rsidR="00FE4C75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 xml:space="preserve">(604) </w:t>
            </w:r>
            <w:r w:rsidRPr="00CE40D7">
              <w:rPr>
                <w:rFonts w:ascii="Arial" w:eastAsia="Calibri" w:hAnsi="Arial" w:cs="Arial"/>
                <w:bCs/>
                <w:color w:val="000000" w:themeColor="text1"/>
                <w:lang w:eastAsia="en-US"/>
              </w:rPr>
              <w:t>3737676 (Extensión 1514).</w:t>
            </w:r>
          </w:p>
          <w:p w14:paraId="45E6346D" w14:textId="11B37436" w:rsidR="001D226B" w:rsidRPr="00E144D6" w:rsidRDefault="00346553" w:rsidP="00346553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Horario de atención: </w:t>
            </w:r>
            <w:r w:rsidRPr="00804D33">
              <w:rPr>
                <w:rFonts w:ascii="Arial" w:hAnsi="Arial" w:cs="Arial"/>
                <w:bCs/>
                <w:color w:val="000000" w:themeColor="text1"/>
              </w:rPr>
              <w:t>lunes a jueves de 7:00 a.m. a 4:00 p.m. Viernes de 7:00 a.m. a 3:00 p.m. - Jornada continua</w:t>
            </w: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03DF6E96" w:rsidR="003E4D47" w:rsidRPr="00882CEE" w:rsidRDefault="00A0243A" w:rsidP="00A825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20CEB912" w:rsidR="003E4D47" w:rsidRPr="00EE04FF" w:rsidRDefault="003E4D47" w:rsidP="00EE04F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6D32C6C2" w:rsidR="003E4D47" w:rsidRPr="00E55BD7" w:rsidRDefault="003E4D47" w:rsidP="00E55BD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4E14AA49" w:rsidR="00E52E6D" w:rsidRPr="00E52E6D" w:rsidRDefault="00A0243A" w:rsidP="00E52E6D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69439D">
        <w:trPr>
          <w:trHeight w:val="54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58B7F58" w14:textId="77777777" w:rsidR="00AE0BA4" w:rsidRDefault="00AE0BA4" w:rsidP="00AE0BA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La entidad verificará que la persona a incluir, no esté registrada en la base de datos del SISBEN de ninguna entidad territorial.</w:t>
            </w:r>
          </w:p>
          <w:p w14:paraId="63A1289C" w14:textId="77777777" w:rsidR="00AE0BA4" w:rsidRDefault="00AE0BA4" w:rsidP="00AE0BA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389FDA1D" w14:textId="77777777" w:rsidR="00AE0BA4" w:rsidRPr="00E24F67" w:rsidRDefault="00AE0BA4" w:rsidP="00AE0BA4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</w:rPr>
            </w:pPr>
            <w:r w:rsidRPr="00E24F67">
              <w:rPr>
                <w:rFonts w:ascii="Arial" w:hAnsi="Arial" w:cs="Arial"/>
                <w:bCs/>
              </w:rPr>
              <w:t>A ciudadanos Colombianos:</w:t>
            </w:r>
          </w:p>
          <w:p w14:paraId="677F6486" w14:textId="77777777" w:rsidR="00AE0BA4" w:rsidRDefault="00AE0BA4" w:rsidP="00AE0BA4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Fotocopia de la cédula de ciudadanía de la persona que solicita el trámite, y de la(s) persona(s) que se van a incluir. </w:t>
            </w:r>
          </w:p>
          <w:p w14:paraId="1D40484A" w14:textId="77777777" w:rsidR="00AE0BA4" w:rsidRDefault="00AE0BA4" w:rsidP="00AE0BA4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46221008" w14:textId="77777777" w:rsidR="00AE0BA4" w:rsidRDefault="00AE0BA4" w:rsidP="00AE0BA4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que la persona a incluir sea menor de 7 años debe presentar el registro civil de nacimiento, si tiene entre 7 y 17 años debe presentar la tarjeta de identidad.</w:t>
            </w:r>
          </w:p>
          <w:p w14:paraId="23CDD1E2" w14:textId="77777777" w:rsidR="00AE0BA4" w:rsidRDefault="00AE0BA4" w:rsidP="00AE0BA4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F98FD0" w14:textId="77777777" w:rsidR="00AE0BA4" w:rsidRDefault="00AE0BA4" w:rsidP="00AE0BA4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0EE7B1" w14:textId="77777777" w:rsidR="00AE0BA4" w:rsidRPr="00E24F67" w:rsidRDefault="00AE0BA4" w:rsidP="00AE0BA4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color w:val="auto"/>
                <w:sz w:val="22"/>
                <w:szCs w:val="22"/>
              </w:rPr>
            </w:pPr>
            <w:r w:rsidRPr="00E24F67">
              <w:rPr>
                <w:bCs/>
                <w:color w:val="auto"/>
                <w:sz w:val="22"/>
                <w:szCs w:val="22"/>
              </w:rPr>
              <w:t>A ciudadanos Extranjeros</w:t>
            </w:r>
            <w:r w:rsidRPr="00E24F67">
              <w:rPr>
                <w:bCs/>
                <w:color w:val="auto"/>
              </w:rPr>
              <w:t xml:space="preserve">: </w:t>
            </w:r>
          </w:p>
          <w:p w14:paraId="64DB55ED" w14:textId="77777777" w:rsidR="00AE0BA4" w:rsidRPr="00E24F67" w:rsidRDefault="00AE0BA4" w:rsidP="00AE0BA4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Ind w:w="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8"/>
              <w:gridCol w:w="5170"/>
            </w:tblGrid>
            <w:tr w:rsidR="00346553" w:rsidRPr="00A765FF" w14:paraId="6ACE214A" w14:textId="77777777" w:rsidTr="00625D04">
              <w:trPr>
                <w:trHeight w:val="142"/>
              </w:trPr>
              <w:tc>
                <w:tcPr>
                  <w:tcW w:w="1918" w:type="dxa"/>
                  <w:vAlign w:val="center"/>
                </w:tcPr>
                <w:p w14:paraId="438BCC5F" w14:textId="77777777" w:rsidR="00346553" w:rsidRPr="00A765FF" w:rsidRDefault="00346553" w:rsidP="00346553">
                  <w:pPr>
                    <w:pStyle w:val="Default"/>
                    <w:jc w:val="center"/>
                    <w:rPr>
                      <w:bCs/>
                      <w:caps/>
                      <w:color w:val="000000" w:themeColor="text1"/>
                      <w:sz w:val="20"/>
                      <w:szCs w:val="20"/>
                    </w:rPr>
                  </w:pPr>
                  <w:r w:rsidRPr="00A765FF"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  <w:t>EDAD</w:t>
                  </w:r>
                </w:p>
              </w:tc>
              <w:tc>
                <w:tcPr>
                  <w:tcW w:w="5170" w:type="dxa"/>
                  <w:vAlign w:val="center"/>
                </w:tcPr>
                <w:p w14:paraId="652C2D2E" w14:textId="77777777" w:rsidR="00346553" w:rsidRPr="00A765FF" w:rsidRDefault="00346553" w:rsidP="00346553">
                  <w:pPr>
                    <w:pStyle w:val="Default"/>
                    <w:jc w:val="center"/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65FF"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  <w:t>TIPO DE DOCUMENTO</w:t>
                  </w:r>
                </w:p>
              </w:tc>
            </w:tr>
            <w:tr w:rsidR="00346553" w:rsidRPr="00A765FF" w14:paraId="209193B8" w14:textId="77777777" w:rsidTr="00625D04">
              <w:trPr>
                <w:trHeight w:val="609"/>
              </w:trPr>
              <w:tc>
                <w:tcPr>
                  <w:tcW w:w="1918" w:type="dxa"/>
                  <w:vMerge w:val="restart"/>
                  <w:vAlign w:val="center"/>
                </w:tcPr>
                <w:p w14:paraId="00DFFD16" w14:textId="77777777" w:rsidR="00346553" w:rsidRPr="00A765FF" w:rsidRDefault="00346553" w:rsidP="00346553">
                  <w:pPr>
                    <w:pStyle w:val="Default"/>
                    <w:jc w:val="center"/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65FF"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  <w:t>Mayor de siete (7) años</w:t>
                  </w:r>
                </w:p>
              </w:tc>
              <w:tc>
                <w:tcPr>
                  <w:tcW w:w="5170" w:type="dxa"/>
                  <w:vAlign w:val="center"/>
                </w:tcPr>
                <w:p w14:paraId="2BFCE95E" w14:textId="77777777" w:rsidR="00346553" w:rsidRPr="00A765FF" w:rsidRDefault="00346553" w:rsidP="00346553">
                  <w:pPr>
                    <w:pStyle w:val="Default"/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65FF"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  <w:t>Cualquier extranjero: Cédula de extranjería expedida por Migración Colombia o Salvoconducto CS2.</w:t>
                  </w:r>
                </w:p>
              </w:tc>
            </w:tr>
            <w:tr w:rsidR="00346553" w:rsidRPr="00A765FF" w14:paraId="4518F750" w14:textId="77777777" w:rsidTr="00625D04">
              <w:trPr>
                <w:trHeight w:val="689"/>
              </w:trPr>
              <w:tc>
                <w:tcPr>
                  <w:tcW w:w="1918" w:type="dxa"/>
                  <w:vMerge/>
                </w:tcPr>
                <w:p w14:paraId="0BDCAD49" w14:textId="77777777" w:rsidR="00346553" w:rsidRPr="00A765FF" w:rsidRDefault="00346553" w:rsidP="00346553">
                  <w:pPr>
                    <w:pStyle w:val="Default"/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70" w:type="dxa"/>
                  <w:vAlign w:val="center"/>
                </w:tcPr>
                <w:p w14:paraId="2BF08487" w14:textId="77777777" w:rsidR="00346553" w:rsidRPr="00A765FF" w:rsidRDefault="00346553" w:rsidP="00346553">
                  <w:pPr>
                    <w:pStyle w:val="Default"/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65FF"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  <w:t>Solo para venezolanos: Permiso Especial de Permanencia (PEP o PEP-RAMV o PEPFF o PPT).</w:t>
                  </w:r>
                </w:p>
              </w:tc>
            </w:tr>
            <w:tr w:rsidR="00346553" w:rsidRPr="00A765FF" w14:paraId="63781087" w14:textId="77777777" w:rsidTr="00625D04">
              <w:trPr>
                <w:trHeight w:val="840"/>
              </w:trPr>
              <w:tc>
                <w:tcPr>
                  <w:tcW w:w="1918" w:type="dxa"/>
                  <w:vMerge w:val="restart"/>
                  <w:vAlign w:val="center"/>
                </w:tcPr>
                <w:p w14:paraId="69D48619" w14:textId="77777777" w:rsidR="00346553" w:rsidRPr="00A765FF" w:rsidRDefault="00346553" w:rsidP="00346553">
                  <w:pPr>
                    <w:pStyle w:val="Default"/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65FF"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  <w:t xml:space="preserve">Menores o iguales a siete (7) años </w:t>
                  </w:r>
                </w:p>
              </w:tc>
              <w:tc>
                <w:tcPr>
                  <w:tcW w:w="5170" w:type="dxa"/>
                  <w:vAlign w:val="center"/>
                </w:tcPr>
                <w:p w14:paraId="192960ED" w14:textId="77777777" w:rsidR="00346553" w:rsidRPr="00A765FF" w:rsidRDefault="00346553" w:rsidP="00346553">
                  <w:pPr>
                    <w:pStyle w:val="Default"/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65FF"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  <w:t>Cualquier extranjero: Pasaporte o Salvoconducto CS2 o Cédula de Extranjería o Documento Nacional de Identidad DNI del país de origen.</w:t>
                  </w:r>
                </w:p>
              </w:tc>
            </w:tr>
            <w:tr w:rsidR="00346553" w:rsidRPr="00A765FF" w14:paraId="3614166A" w14:textId="77777777" w:rsidTr="00625D04">
              <w:trPr>
                <w:trHeight w:val="470"/>
              </w:trPr>
              <w:tc>
                <w:tcPr>
                  <w:tcW w:w="1918" w:type="dxa"/>
                  <w:vMerge/>
                </w:tcPr>
                <w:p w14:paraId="101F003C" w14:textId="77777777" w:rsidR="00346553" w:rsidRPr="00A765FF" w:rsidRDefault="00346553" w:rsidP="00346553">
                  <w:pPr>
                    <w:pStyle w:val="Default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70" w:type="dxa"/>
                  <w:vAlign w:val="center"/>
                </w:tcPr>
                <w:p w14:paraId="1058B493" w14:textId="77777777" w:rsidR="00346553" w:rsidRPr="00A765FF" w:rsidRDefault="00346553" w:rsidP="00346553">
                  <w:pPr>
                    <w:pStyle w:val="Default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65FF">
                    <w:rPr>
                      <w:rFonts w:eastAsia="Calibri"/>
                      <w:bCs/>
                      <w:color w:val="000000" w:themeColor="text1"/>
                      <w:sz w:val="20"/>
                      <w:szCs w:val="20"/>
                    </w:rPr>
                    <w:t>Solo para venezolanos: Permiso Especial de Permanencia (PEP o PEP-RAMV o PPT).</w:t>
                  </w:r>
                </w:p>
              </w:tc>
            </w:tr>
          </w:tbl>
          <w:p w14:paraId="27AAB501" w14:textId="5311305D" w:rsidR="00AE0BA4" w:rsidRDefault="00AE0BA4" w:rsidP="00AE0BA4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3"/>
            </w:tblGrid>
            <w:tr w:rsidR="00AE0BA4" w14:paraId="1320A8F5" w14:textId="77777777" w:rsidTr="00AE0BA4">
              <w:trPr>
                <w:trHeight w:val="93"/>
              </w:trPr>
              <w:tc>
                <w:tcPr>
                  <w:tcW w:w="6963" w:type="dxa"/>
                  <w:hideMark/>
                </w:tcPr>
                <w:p w14:paraId="5AEEB849" w14:textId="55793521" w:rsidR="00AE0BA4" w:rsidRPr="00346553" w:rsidRDefault="00AE0BA4" w:rsidP="003465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lang w:val="es-ES"/>
                    </w:rPr>
                  </w:pPr>
                </w:p>
              </w:tc>
            </w:tr>
            <w:tr w:rsidR="00AE0BA4" w14:paraId="492A597C" w14:textId="77777777" w:rsidTr="00AE0BA4">
              <w:trPr>
                <w:trHeight w:val="208"/>
              </w:trPr>
              <w:tc>
                <w:tcPr>
                  <w:tcW w:w="6963" w:type="dxa"/>
                </w:tcPr>
                <w:p w14:paraId="66FE69B6" w14:textId="77777777" w:rsidR="00AE0BA4" w:rsidRDefault="00AE0BA4" w:rsidP="00AE0B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lang w:val="es-ES"/>
                    </w:rPr>
                  </w:pPr>
                </w:p>
              </w:tc>
            </w:tr>
            <w:tr w:rsidR="00AE0BA4" w14:paraId="2361BE14" w14:textId="77777777" w:rsidTr="00AE0BA4">
              <w:trPr>
                <w:trHeight w:val="93"/>
              </w:trPr>
              <w:tc>
                <w:tcPr>
                  <w:tcW w:w="6963" w:type="dxa"/>
                </w:tcPr>
                <w:p w14:paraId="06DE90B2" w14:textId="517023C0" w:rsidR="00AE0BA4" w:rsidRPr="00346553" w:rsidRDefault="00AE0BA4" w:rsidP="00346553">
                  <w:pPr>
                    <w:pStyle w:val="Prrafodelista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lang w:val="es-ES"/>
                    </w:rPr>
                  </w:pPr>
                  <w:r w:rsidRPr="00346553">
                    <w:rPr>
                      <w:rFonts w:ascii="Arial" w:eastAsiaTheme="minorHAnsi" w:hAnsi="Arial" w:cs="Arial"/>
                      <w:lang w:val="es-ES"/>
                    </w:rPr>
                    <w:t>Documento que permita la identificación de la vivienda, es recomendable cuenta de servicios públicos, impuesto predial o cualquier documento que permita la identificación de la vivienda.</w:t>
                  </w:r>
                </w:p>
              </w:tc>
            </w:tr>
          </w:tbl>
          <w:p w14:paraId="0742EAD3" w14:textId="6124A2EE" w:rsidR="00B54014" w:rsidRPr="00055C24" w:rsidRDefault="00B54014" w:rsidP="007315BD">
            <w:pPr>
              <w:spacing w:before="120"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D0D4BEA" w14:textId="77777777" w:rsidR="00346553" w:rsidRPr="00777C03" w:rsidRDefault="00346553" w:rsidP="00346553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7C03">
              <w:rPr>
                <w:rFonts w:ascii="Arial" w:hAnsi="Arial" w:cs="Arial"/>
                <w:bCs/>
                <w:caps/>
                <w:color w:val="000000" w:themeColor="text1"/>
                <w:sz w:val="20"/>
                <w:szCs w:val="20"/>
              </w:rPr>
              <w:t>Inclusión</w:t>
            </w:r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 La entidad verificará que cada una de las personas a incluir, no estén registradas en la base de datos del SISBEN con dirección de residencia en Itagüí.</w:t>
            </w:r>
          </w:p>
          <w:p w14:paraId="7226195C" w14:textId="77777777" w:rsidR="00346553" w:rsidRPr="00777C03" w:rsidRDefault="00346553" w:rsidP="00346553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A7D7F5" w14:textId="77777777" w:rsidR="00346553" w:rsidRPr="00777C03" w:rsidRDefault="00346553" w:rsidP="00346553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Solicitar el trámite para </w:t>
            </w:r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  <w:t>inclusión</w:t>
            </w:r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 personas directamente en la oficina del SISBEN. </w:t>
            </w:r>
          </w:p>
          <w:p w14:paraId="54149D75" w14:textId="77777777" w:rsidR="00346553" w:rsidRPr="00777C03" w:rsidRDefault="00346553" w:rsidP="00346553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Adjuntar la documentación requerida.</w:t>
            </w:r>
          </w:p>
          <w:p w14:paraId="35E967F9" w14:textId="77777777" w:rsidR="00346553" w:rsidRPr="00777C03" w:rsidRDefault="00346553" w:rsidP="00346553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Suministrar la información pertinente sobre antecedentes sociodemográficos, salud, educación, ingresos y ocupación de la(s) persona(s) a incluir.</w:t>
            </w:r>
          </w:p>
          <w:p w14:paraId="56468676" w14:textId="77777777" w:rsidR="00346553" w:rsidRPr="00777C03" w:rsidRDefault="00346553" w:rsidP="00346553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Firmar el “REPORTE NUEVA SOLICITUD EN TRAMITE” que genera el aplicativo </w:t>
            </w:r>
            <w:proofErr w:type="spellStart"/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SisbenApp</w:t>
            </w:r>
            <w:proofErr w:type="spellEnd"/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y avalar con huella digital del índice derecho para validar la gestión de la solicitud de inclusión.</w:t>
            </w:r>
          </w:p>
          <w:p w14:paraId="6AA12FE3" w14:textId="77777777" w:rsidR="00346553" w:rsidRPr="00777C03" w:rsidRDefault="00346553" w:rsidP="00346553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Firmar en el Dispositivo Móvil de Captura –DMC- la porción de encuesta de la inclusión solicitada.</w:t>
            </w:r>
          </w:p>
          <w:p w14:paraId="44B6FB32" w14:textId="77777777" w:rsidR="00346553" w:rsidRPr="00777C03" w:rsidRDefault="00346553" w:rsidP="00346553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Recibir una copia del “REPORTE NUEVA SOLICITUD EN TRAMITE” que soporta el trámite solicitado.</w:t>
            </w:r>
          </w:p>
          <w:p w14:paraId="310ACB9F" w14:textId="51A9A303" w:rsidR="002055E6" w:rsidRPr="00346553" w:rsidRDefault="00346553" w:rsidP="00346553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77C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Consultar la </w:t>
            </w:r>
            <w:r w:rsidRPr="0034655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validación del trámite en la página web www.sisben.gov.co,  módulo Consulta tu grupo Sisbén.</w:t>
            </w: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694B2E42" w:rsidR="00F72246" w:rsidRPr="00E144D6" w:rsidRDefault="00ED27AA" w:rsidP="003462FB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E144D6">
              <w:rPr>
                <w:rFonts w:ascii="Arial" w:hAnsi="Arial" w:cs="Arial"/>
                <w:bCs/>
                <w:color w:val="000000" w:themeColor="text1"/>
              </w:rPr>
              <w:t xml:space="preserve">Seis (6) días hábiles 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3D836FEB" w:rsidR="00EA50D4" w:rsidRPr="007315BD" w:rsidRDefault="00AE0BA4" w:rsidP="008A5670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Inclusión de personas en un hogar existente en la base de datos del SISBEN y publicación del resultado de clasificación del SISBEN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26C4A37F" w:rsidR="003F3469" w:rsidRPr="001F1F4B" w:rsidRDefault="00AE0BA4" w:rsidP="003F3469">
            <w:pPr>
              <w:spacing w:after="0"/>
              <w:jc w:val="both"/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>
              <w:rPr>
                <w:rFonts w:ascii="Arial" w:hAnsi="Arial" w:cs="Arial"/>
              </w:rPr>
              <w:t xml:space="preserve">Con el número de solicitud que registra la copia del formato “NUEVA SOLICITUD EN TRAMITE” el usuario puede consultar el estado de su trámite en la línea telefónica: </w:t>
            </w:r>
            <w:r w:rsidR="003F3469">
              <w:rPr>
                <w:rFonts w:ascii="Arial" w:hAnsi="Arial" w:cs="Arial"/>
              </w:rPr>
              <w:t xml:space="preserve">(604) </w:t>
            </w:r>
            <w:r w:rsidR="003F3469" w:rsidRPr="00CE40D7">
              <w:rPr>
                <w:rFonts w:ascii="Arial" w:hAnsi="Arial" w:cs="Arial"/>
                <w:bCs/>
                <w:color w:val="000000" w:themeColor="text1"/>
              </w:rPr>
              <w:t>3737676 (Extensión 1514).</w:t>
            </w:r>
            <w:r>
              <w:rPr>
                <w:rFonts w:ascii="Arial" w:hAnsi="Arial" w:cs="Arial"/>
              </w:rPr>
              <w:t xml:space="preserve">, en la Oficina SISBEN, ubicada en la carrera 51 # 54-20, Barrio Villa Paula, en el horario </w:t>
            </w:r>
            <w:r w:rsidR="00AC5F9B" w:rsidRPr="00804D33">
              <w:rPr>
                <w:rFonts w:ascii="Arial" w:hAnsi="Arial" w:cs="Arial"/>
                <w:bCs/>
                <w:color w:val="000000" w:themeColor="text1"/>
              </w:rPr>
              <w:t>lunes a jueves de 7:00 a.m. a 4:00 p.m. Viernes de 7:00 a.m. a 3:00 p.m. - Jornada continua</w:t>
            </w:r>
            <w:r w:rsidR="003F3469">
              <w:rPr>
                <w:rFonts w:ascii="Arial" w:hAnsi="Arial" w:cs="Arial"/>
                <w:bCs/>
                <w:color w:val="000000" w:themeColor="text1"/>
              </w:rPr>
              <w:t xml:space="preserve">. A través del correo: </w:t>
            </w:r>
            <w:hyperlink r:id="rId8" w:history="1">
              <w:r w:rsidR="003F3469" w:rsidRPr="007166E1">
                <w:rPr>
                  <w:rStyle w:val="Hipervnculo"/>
                  <w:rFonts w:ascii="Arial" w:hAnsi="Arial" w:cs="Arial"/>
                  <w:bCs/>
                </w:rPr>
                <w:t>sisben@itagui.gov.co</w:t>
              </w:r>
            </w:hyperlink>
            <w:r w:rsidR="003F346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6B48567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Ley 715 de 2001, Ley General de </w:t>
            </w:r>
            <w:proofErr w:type="spellStart"/>
            <w:r>
              <w:rPr>
                <w:rFonts w:ascii="Arial" w:hAnsi="Arial" w:cs="Arial"/>
                <w:lang w:val="en-US"/>
              </w:rPr>
              <w:t>Participaciones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Articulo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94. </w:t>
            </w:r>
            <w:proofErr w:type="spellStart"/>
            <w:r>
              <w:rPr>
                <w:rFonts w:ascii="Arial" w:hAnsi="Arial" w:cs="Arial"/>
                <w:lang w:val="en-US"/>
              </w:rPr>
              <w:t>obligatoriedad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para las </w:t>
            </w:r>
            <w:proofErr w:type="spellStart"/>
            <w:r>
              <w:rPr>
                <w:rFonts w:ascii="Arial" w:hAnsi="Arial" w:cs="Arial"/>
                <w:lang w:val="en-US"/>
              </w:rPr>
              <w:t>entidades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territoriales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aplicar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los </w:t>
            </w:r>
            <w:proofErr w:type="spellStart"/>
            <w:r>
              <w:rPr>
                <w:rFonts w:ascii="Arial" w:hAnsi="Arial" w:cs="Arial"/>
                <w:lang w:val="en-US"/>
              </w:rPr>
              <w:t>criterios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focalización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definidos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CONPES Social, para la </w:t>
            </w:r>
            <w:proofErr w:type="spellStart"/>
            <w:r>
              <w:rPr>
                <w:rFonts w:ascii="Arial" w:hAnsi="Arial" w:cs="Arial"/>
                <w:lang w:val="en-US"/>
              </w:rPr>
              <w:t>distribución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subsidios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inversión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social.</w:t>
            </w:r>
          </w:p>
          <w:p w14:paraId="466E9516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CONPES Social N° 100 </w:t>
            </w:r>
            <w:proofErr w:type="spellStart"/>
            <w:r>
              <w:rPr>
                <w:rFonts w:ascii="Arial" w:hAnsi="Arial" w:cs="Arial"/>
                <w:lang w:val="en-US"/>
              </w:rPr>
              <w:t>junio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29 de 2006. </w:t>
            </w:r>
            <w:proofErr w:type="spellStart"/>
            <w:r>
              <w:rPr>
                <w:rFonts w:ascii="Arial" w:hAnsi="Arial" w:cs="Arial"/>
                <w:lang w:val="en-US"/>
              </w:rPr>
              <w:t>Focalización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lang w:val="en-US"/>
              </w:rPr>
              <w:t>Gasto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Público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Social. </w:t>
            </w:r>
          </w:p>
          <w:p w14:paraId="1B5A5093" w14:textId="77777777" w:rsidR="00AE0BA4" w:rsidRDefault="00AE0BA4" w:rsidP="00AE0BA4">
            <w:pPr>
              <w:pStyle w:val="Prrafodelista"/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Ley 1176 </w:t>
            </w:r>
            <w:proofErr w:type="spellStart"/>
            <w:r>
              <w:rPr>
                <w:rFonts w:ascii="Arial" w:hAnsi="Arial" w:cs="Arial"/>
                <w:lang w:val="en-US"/>
              </w:rPr>
              <w:t>diciembre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27 de 2007 Sistema General de </w:t>
            </w:r>
            <w:proofErr w:type="spellStart"/>
            <w:r>
              <w:rPr>
                <w:rFonts w:ascii="Arial" w:hAnsi="Arial" w:cs="Arial"/>
                <w:lang w:val="en-US"/>
              </w:rPr>
              <w:t>Participaciones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Artículo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24. </w:t>
            </w:r>
            <w:proofErr w:type="spellStart"/>
            <w:r>
              <w:rPr>
                <w:rFonts w:ascii="Arial" w:hAnsi="Arial" w:cs="Arial"/>
                <w:lang w:val="en-US"/>
              </w:rPr>
              <w:t>Modifica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artículo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94 de la Ley 715 de 2001 “</w:t>
            </w:r>
            <w:proofErr w:type="spellStart"/>
            <w:r>
              <w:rPr>
                <w:rFonts w:ascii="Arial" w:hAnsi="Arial" w:cs="Arial"/>
                <w:lang w:val="en-US"/>
              </w:rPr>
              <w:t>Focalización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los </w:t>
            </w:r>
            <w:proofErr w:type="spellStart"/>
            <w:r>
              <w:rPr>
                <w:rFonts w:ascii="Arial" w:hAnsi="Arial" w:cs="Arial"/>
                <w:lang w:val="en-US"/>
              </w:rPr>
              <w:t>servicios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sociales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” Y define los </w:t>
            </w:r>
            <w:proofErr w:type="spellStart"/>
            <w:r>
              <w:rPr>
                <w:rFonts w:ascii="Arial" w:hAnsi="Arial" w:cs="Arial"/>
                <w:lang w:val="en-US"/>
              </w:rPr>
              <w:t>criterios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egreso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suspensión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lang w:val="en-US"/>
              </w:rPr>
              <w:t>exclusión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las personas de las bases de </w:t>
            </w:r>
            <w:proofErr w:type="spellStart"/>
            <w:r>
              <w:rPr>
                <w:rFonts w:ascii="Arial" w:hAnsi="Arial" w:cs="Arial"/>
                <w:lang w:val="en-US"/>
              </w:rPr>
              <w:t>datos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</w:p>
          <w:p w14:paraId="72D1DA3C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CONPES Social 022, 040, 055, 100 de 2008.</w:t>
            </w:r>
          </w:p>
          <w:p w14:paraId="77AE30E5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CONPES Social N°117 </w:t>
            </w:r>
            <w:proofErr w:type="spellStart"/>
            <w:r>
              <w:rPr>
                <w:rFonts w:ascii="Arial" w:hAnsi="Arial" w:cs="Arial"/>
                <w:lang w:val="en-US"/>
              </w:rPr>
              <w:t>agosto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25 de 2008, </w:t>
            </w:r>
            <w:proofErr w:type="spellStart"/>
            <w:r>
              <w:rPr>
                <w:rFonts w:ascii="Arial" w:hAnsi="Arial" w:cs="Arial"/>
                <w:lang w:val="en-US"/>
              </w:rPr>
              <w:t>Actualización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los </w:t>
            </w:r>
            <w:proofErr w:type="spellStart"/>
            <w:r>
              <w:rPr>
                <w:rFonts w:ascii="Arial" w:hAnsi="Arial" w:cs="Arial"/>
                <w:lang w:val="en-US"/>
              </w:rPr>
              <w:t>criterios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lang w:val="en-US"/>
              </w:rPr>
              <w:t>determinación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identificación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en-US"/>
              </w:rPr>
              <w:t>selección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beneficiarios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programas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lastRenderedPageBreak/>
              <w:t>sociales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a </w:t>
            </w:r>
            <w:proofErr w:type="spellStart"/>
            <w:r>
              <w:rPr>
                <w:rFonts w:ascii="Arial" w:hAnsi="Arial" w:cs="Arial"/>
                <w:lang w:val="en-US"/>
              </w:rPr>
              <w:t>través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lang w:val="en-US"/>
              </w:rPr>
              <w:t>diseño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implementación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en-US"/>
              </w:rPr>
              <w:t>adopción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lang w:val="en-US"/>
              </w:rPr>
              <w:t>nueva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metodología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Sisben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III.</w:t>
            </w:r>
          </w:p>
          <w:p w14:paraId="7096C031" w14:textId="77777777" w:rsidR="00AE0BA4" w:rsidRDefault="00AE0BA4" w:rsidP="00AE0BA4">
            <w:pPr>
              <w:pStyle w:val="Prrafodelista"/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Ley </w:t>
            </w:r>
            <w:proofErr w:type="spellStart"/>
            <w:r>
              <w:rPr>
                <w:rFonts w:ascii="Arial" w:hAnsi="Arial" w:cs="Arial"/>
                <w:lang w:val="en-US"/>
              </w:rPr>
              <w:t>Estatutaria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1266 del 31 de </w:t>
            </w:r>
            <w:proofErr w:type="spellStart"/>
            <w:r>
              <w:rPr>
                <w:rFonts w:ascii="Arial" w:hAnsi="Arial" w:cs="Arial"/>
                <w:lang w:val="en-US"/>
              </w:rPr>
              <w:t>diciembre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2008. </w:t>
            </w:r>
            <w:proofErr w:type="spellStart"/>
            <w:r>
              <w:rPr>
                <w:rFonts w:ascii="Arial" w:hAnsi="Arial" w:cs="Arial"/>
                <w:lang w:val="en-US"/>
              </w:rPr>
              <w:t>Disposiciones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generales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hábeas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data y</w:t>
            </w:r>
            <w:r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lang w:val="en-US"/>
              </w:rPr>
              <w:t>regula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manejo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contenida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la base de </w:t>
            </w:r>
            <w:proofErr w:type="spellStart"/>
            <w:r>
              <w:rPr>
                <w:rFonts w:ascii="Arial" w:hAnsi="Arial" w:cs="Arial"/>
                <w:lang w:val="en-US"/>
              </w:rPr>
              <w:t>datos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personales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</w:p>
          <w:p w14:paraId="62581381" w14:textId="77777777" w:rsidR="00AE0BA4" w:rsidRDefault="00AE0BA4" w:rsidP="00AE0BA4">
            <w:pPr>
              <w:pStyle w:val="Prrafodelista"/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Decreto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4816 </w:t>
            </w:r>
            <w:proofErr w:type="spellStart"/>
            <w:r>
              <w:rPr>
                <w:rFonts w:ascii="Arial" w:hAnsi="Arial" w:cs="Arial"/>
                <w:lang w:val="en-US"/>
              </w:rPr>
              <w:t>diciembre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2008: </w:t>
            </w:r>
            <w:proofErr w:type="spellStart"/>
            <w:r>
              <w:rPr>
                <w:rFonts w:ascii="Arial" w:hAnsi="Arial" w:cs="Arial"/>
                <w:lang w:val="en-US"/>
              </w:rPr>
              <w:t>Criterios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inclusión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suspensión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en-US"/>
              </w:rPr>
              <w:t>exclusión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la base de </w:t>
            </w:r>
            <w:proofErr w:type="spellStart"/>
            <w:r>
              <w:rPr>
                <w:rFonts w:ascii="Arial" w:hAnsi="Arial" w:cs="Arial"/>
                <w:lang w:val="en-US"/>
              </w:rPr>
              <w:t>datos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14:paraId="67F137DE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Decreto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1192 de 2010 </w:t>
            </w:r>
            <w:proofErr w:type="spellStart"/>
            <w:r>
              <w:rPr>
                <w:rFonts w:ascii="Arial" w:hAnsi="Arial" w:cs="Arial"/>
                <w:lang w:val="en-US"/>
              </w:rPr>
              <w:t>Procedimientos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en-US"/>
              </w:rPr>
              <w:t>fechas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entrega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las Bases de </w:t>
            </w:r>
            <w:proofErr w:type="spellStart"/>
            <w:r>
              <w:rPr>
                <w:rFonts w:ascii="Arial" w:hAnsi="Arial" w:cs="Arial"/>
                <w:lang w:val="en-US"/>
              </w:rPr>
              <w:t>Datos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Brutas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Municipales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en-US"/>
              </w:rPr>
              <w:t>Distritales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lang w:val="en-US"/>
              </w:rPr>
              <w:t>Sisben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de </w:t>
            </w:r>
            <w:proofErr w:type="spellStart"/>
            <w:r>
              <w:rPr>
                <w:rFonts w:ascii="Arial" w:hAnsi="Arial" w:cs="Arial"/>
                <w:lang w:val="en-US"/>
              </w:rPr>
              <w:t>generación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publicación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en-US"/>
              </w:rPr>
              <w:t>envío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la base </w:t>
            </w:r>
            <w:proofErr w:type="spellStart"/>
            <w:r>
              <w:rPr>
                <w:rFonts w:ascii="Arial" w:hAnsi="Arial" w:cs="Arial"/>
                <w:lang w:val="en-US"/>
              </w:rPr>
              <w:t>certificada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lang w:val="en-US"/>
              </w:rPr>
              <w:t>Sisben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14:paraId="2BF93117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Resoluciones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N°3900/2015 (</w:t>
            </w:r>
            <w:proofErr w:type="spellStart"/>
            <w:r>
              <w:rPr>
                <w:rFonts w:ascii="Arial" w:hAnsi="Arial" w:cs="Arial"/>
                <w:lang w:val="en-US"/>
              </w:rPr>
              <w:t>Cronograma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entrega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en-US"/>
              </w:rPr>
              <w:t>publicación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la base de </w:t>
            </w:r>
            <w:proofErr w:type="spellStart"/>
            <w:r>
              <w:rPr>
                <w:rFonts w:ascii="Arial" w:hAnsi="Arial" w:cs="Arial"/>
                <w:lang w:val="en-US"/>
              </w:rPr>
              <w:t>datos</w:t>
            </w:r>
            <w:proofErr w:type="spellEnd"/>
            <w:r>
              <w:rPr>
                <w:rFonts w:ascii="Arial" w:hAnsi="Arial" w:cs="Arial"/>
                <w:lang w:val="en-US"/>
              </w:rPr>
              <w:t>).</w:t>
            </w:r>
          </w:p>
          <w:p w14:paraId="11DD1959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Circular Externa N°20 </w:t>
            </w:r>
            <w:proofErr w:type="spellStart"/>
            <w:r>
              <w:rPr>
                <w:rFonts w:ascii="Arial" w:hAnsi="Arial" w:cs="Arial"/>
                <w:lang w:val="en-US"/>
              </w:rPr>
              <w:t>noviembre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2015 del </w:t>
            </w:r>
            <w:proofErr w:type="spellStart"/>
            <w:r>
              <w:rPr>
                <w:rFonts w:ascii="Arial" w:hAnsi="Arial" w:cs="Arial"/>
                <w:lang w:val="en-US"/>
              </w:rPr>
              <w:t>Departamento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Nacional de </w:t>
            </w:r>
            <w:proofErr w:type="spellStart"/>
            <w:r>
              <w:rPr>
                <w:rFonts w:ascii="Arial" w:hAnsi="Arial" w:cs="Arial"/>
                <w:lang w:val="en-US"/>
              </w:rPr>
              <w:t>Planeación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Controles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Calidad de las Bases de </w:t>
            </w:r>
            <w:proofErr w:type="spellStart"/>
            <w:r>
              <w:rPr>
                <w:rFonts w:ascii="Arial" w:hAnsi="Arial" w:cs="Arial"/>
                <w:lang w:val="en-US"/>
              </w:rPr>
              <w:t>Datos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Brutas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Municipales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lang w:val="en-US"/>
              </w:rPr>
              <w:t>Sisben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14:paraId="6A222493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CONPES 3877 del 5 de </w:t>
            </w:r>
            <w:proofErr w:type="spellStart"/>
            <w:r>
              <w:rPr>
                <w:rFonts w:ascii="Arial" w:hAnsi="Arial" w:cs="Arial"/>
                <w:lang w:val="en-US"/>
              </w:rPr>
              <w:t>diciembre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2016. </w:t>
            </w:r>
            <w:proofErr w:type="spellStart"/>
            <w:r>
              <w:rPr>
                <w:rFonts w:ascii="Arial" w:hAnsi="Arial" w:cs="Arial"/>
                <w:lang w:val="en-US"/>
              </w:rPr>
              <w:t>Declaración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importancia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estratégica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lang w:val="en-US"/>
              </w:rPr>
              <w:t>sistema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identificación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potenciales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beneficiarios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(SISBÉN IV).</w:t>
            </w:r>
          </w:p>
          <w:p w14:paraId="3AE212EA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Decreto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441 del 16 de </w:t>
            </w:r>
            <w:proofErr w:type="spellStart"/>
            <w:r>
              <w:rPr>
                <w:rFonts w:ascii="Arial" w:hAnsi="Arial" w:cs="Arial"/>
                <w:lang w:val="en-US"/>
              </w:rPr>
              <w:t>marzo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2017 “…</w:t>
            </w:r>
            <w:proofErr w:type="spellStart"/>
            <w:r>
              <w:rPr>
                <w:rFonts w:ascii="Arial" w:hAnsi="Arial" w:cs="Arial"/>
                <w:lang w:val="en-US"/>
              </w:rPr>
              <w:t>Decreto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único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reglamentario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sector </w:t>
            </w:r>
            <w:proofErr w:type="spellStart"/>
            <w:r>
              <w:rPr>
                <w:rFonts w:ascii="Arial" w:hAnsi="Arial" w:cs="Arial"/>
                <w:lang w:val="en-US"/>
              </w:rPr>
              <w:t>Administrativo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Planeación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Nacional, con </w:t>
            </w:r>
            <w:proofErr w:type="spellStart"/>
            <w:r>
              <w:rPr>
                <w:rFonts w:ascii="Arial" w:hAnsi="Arial" w:cs="Arial"/>
                <w:lang w:val="en-US"/>
              </w:rPr>
              <w:t>el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fin de </w:t>
            </w:r>
            <w:proofErr w:type="spellStart"/>
            <w:r>
              <w:rPr>
                <w:rFonts w:ascii="Arial" w:hAnsi="Arial" w:cs="Arial"/>
                <w:lang w:val="en-US"/>
              </w:rPr>
              <w:t>reglamentar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artículo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24 de la Ley 1176 de 2007 </w:t>
            </w:r>
            <w:proofErr w:type="spellStart"/>
            <w:r>
              <w:rPr>
                <w:rFonts w:ascii="Arial" w:hAnsi="Arial" w:cs="Arial"/>
                <w:lang w:val="en-US"/>
              </w:rPr>
              <w:t>respecto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lang w:val="en-US"/>
              </w:rPr>
              <w:t>instrumento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focalización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los </w:t>
            </w:r>
            <w:proofErr w:type="spellStart"/>
            <w:r>
              <w:rPr>
                <w:rFonts w:ascii="Arial" w:hAnsi="Arial" w:cs="Arial"/>
                <w:lang w:val="en-US"/>
              </w:rPr>
              <w:t>servicios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sociales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…”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Artículo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1.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0DFC69FC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Cartillas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SISBEN-</w:t>
            </w:r>
            <w:proofErr w:type="spellStart"/>
            <w:r>
              <w:rPr>
                <w:rFonts w:ascii="Arial" w:hAnsi="Arial" w:cs="Arial"/>
                <w:lang w:val="en-US"/>
              </w:rPr>
              <w:t>Departamento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Nacional de </w:t>
            </w:r>
            <w:proofErr w:type="spellStart"/>
            <w:r>
              <w:rPr>
                <w:rFonts w:ascii="Arial" w:hAnsi="Arial" w:cs="Arial"/>
                <w:lang w:val="en-US"/>
              </w:rPr>
              <w:t>Planeación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14:paraId="7DFFB5A7" w14:textId="77777777" w:rsidR="00AE0BA4" w:rsidRDefault="00AE0BA4" w:rsidP="00AE0B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Cartilla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Focalización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SISBEN IV del Kit de </w:t>
            </w:r>
            <w:proofErr w:type="spellStart"/>
            <w:r>
              <w:rPr>
                <w:rFonts w:ascii="Arial" w:hAnsi="Arial" w:cs="Arial"/>
                <w:lang w:val="en-US"/>
              </w:rPr>
              <w:t>Planeación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Territorial.</w:t>
            </w:r>
          </w:p>
          <w:p w14:paraId="509C2425" w14:textId="4B7260FD" w:rsidR="004D70A6" w:rsidRPr="00AE0BA4" w:rsidRDefault="00AE0BA4" w:rsidP="00AE0B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AE0BA4">
              <w:rPr>
                <w:rFonts w:ascii="Arial" w:hAnsi="Arial" w:cs="Arial"/>
                <w:lang w:val="en-US"/>
              </w:rPr>
              <w:t>Resolución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0553 de 4 de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marzo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de 2021 Por la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cual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establecen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los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términos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remisión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novedades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Sisbén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IV para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validación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publicación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por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parte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Departamento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 xml:space="preserve"> Nacional de </w:t>
            </w:r>
            <w:proofErr w:type="spellStart"/>
            <w:r w:rsidRPr="00AE0BA4">
              <w:rPr>
                <w:rFonts w:ascii="Arial" w:hAnsi="Arial" w:cs="Arial"/>
                <w:lang w:val="en-US"/>
              </w:rPr>
              <w:t>Planeación</w:t>
            </w:r>
            <w:proofErr w:type="spellEnd"/>
            <w:r w:rsidRPr="00AE0BA4">
              <w:rPr>
                <w:rFonts w:ascii="Arial" w:hAnsi="Arial" w:cs="Arial"/>
                <w:lang w:val="en-US"/>
              </w:rPr>
              <w:t>”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E52E6D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E52E6D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55101EC6" w:rsidR="007315BD" w:rsidRPr="00E52E6D" w:rsidRDefault="00E52E6D" w:rsidP="00E52E6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Profesional Universitario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E52E6D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 w:rsidRPr="00E52E6D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E52E6D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0C1716A7" w:rsidR="000C33A0" w:rsidRPr="007315BD" w:rsidRDefault="004F0316" w:rsidP="0065742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27/09/2022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DF39" w14:textId="77777777" w:rsidR="005A4BAC" w:rsidRDefault="005A4BAC" w:rsidP="009422F0">
      <w:pPr>
        <w:spacing w:after="0" w:line="240" w:lineRule="auto"/>
      </w:pPr>
      <w:r>
        <w:separator/>
      </w:r>
    </w:p>
  </w:endnote>
  <w:endnote w:type="continuationSeparator" w:id="0">
    <w:p w14:paraId="025AD1F9" w14:textId="77777777" w:rsidR="005A4BAC" w:rsidRDefault="005A4BAC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74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74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89CE" w14:textId="77777777" w:rsidR="005A4BAC" w:rsidRDefault="005A4BAC" w:rsidP="009422F0">
      <w:pPr>
        <w:spacing w:after="0" w:line="240" w:lineRule="auto"/>
      </w:pPr>
      <w:r>
        <w:separator/>
      </w:r>
    </w:p>
  </w:footnote>
  <w:footnote w:type="continuationSeparator" w:id="0">
    <w:p w14:paraId="25546184" w14:textId="77777777" w:rsidR="005A4BAC" w:rsidRDefault="005A4BAC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5D2"/>
    <w:multiLevelType w:val="hybridMultilevel"/>
    <w:tmpl w:val="7E4CC7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68C1"/>
    <w:multiLevelType w:val="hybridMultilevel"/>
    <w:tmpl w:val="EB3288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AA8"/>
    <w:multiLevelType w:val="hybridMultilevel"/>
    <w:tmpl w:val="1568BD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1B35"/>
    <w:multiLevelType w:val="multilevel"/>
    <w:tmpl w:val="22E01B3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B18BA"/>
    <w:multiLevelType w:val="multilevel"/>
    <w:tmpl w:val="2DBB18B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24C5"/>
    <w:multiLevelType w:val="multilevel"/>
    <w:tmpl w:val="B27CB77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52D95"/>
    <w:multiLevelType w:val="hybridMultilevel"/>
    <w:tmpl w:val="8D06A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368EA"/>
    <w:multiLevelType w:val="multilevel"/>
    <w:tmpl w:val="471368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1C032F"/>
    <w:multiLevelType w:val="hybridMultilevel"/>
    <w:tmpl w:val="BFBE7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0260D"/>
    <w:multiLevelType w:val="hybridMultilevel"/>
    <w:tmpl w:val="18605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77A8A"/>
    <w:multiLevelType w:val="multilevel"/>
    <w:tmpl w:val="6AD77A8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00F2E0D"/>
    <w:multiLevelType w:val="multilevel"/>
    <w:tmpl w:val="E60E4CB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682196"/>
    <w:multiLevelType w:val="multilevel"/>
    <w:tmpl w:val="73682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5E704F"/>
    <w:multiLevelType w:val="hybridMultilevel"/>
    <w:tmpl w:val="E42276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30273">
    <w:abstractNumId w:val="4"/>
  </w:num>
  <w:num w:numId="2" w16cid:durableId="1112357497">
    <w:abstractNumId w:val="8"/>
  </w:num>
  <w:num w:numId="3" w16cid:durableId="16541194">
    <w:abstractNumId w:val="9"/>
  </w:num>
  <w:num w:numId="4" w16cid:durableId="1275675101">
    <w:abstractNumId w:val="6"/>
  </w:num>
  <w:num w:numId="5" w16cid:durableId="277566010">
    <w:abstractNumId w:val="12"/>
  </w:num>
  <w:num w:numId="6" w16cid:durableId="3359626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793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51846">
    <w:abstractNumId w:val="13"/>
  </w:num>
  <w:num w:numId="9" w16cid:durableId="1046107347">
    <w:abstractNumId w:val="14"/>
  </w:num>
  <w:num w:numId="10" w16cid:durableId="1200781555">
    <w:abstractNumId w:val="11"/>
  </w:num>
  <w:num w:numId="11" w16cid:durableId="1557426646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63710">
    <w:abstractNumId w:val="16"/>
  </w:num>
  <w:num w:numId="13" w16cid:durableId="353920386">
    <w:abstractNumId w:val="19"/>
  </w:num>
  <w:num w:numId="14" w16cid:durableId="2079282487">
    <w:abstractNumId w:val="7"/>
  </w:num>
  <w:num w:numId="15" w16cid:durableId="794712207">
    <w:abstractNumId w:val="18"/>
  </w:num>
  <w:num w:numId="16" w16cid:durableId="1086849980">
    <w:abstractNumId w:val="5"/>
  </w:num>
  <w:num w:numId="17" w16cid:durableId="313264927">
    <w:abstractNumId w:val="3"/>
  </w:num>
  <w:num w:numId="18" w16cid:durableId="1907452466">
    <w:abstractNumId w:val="17"/>
  </w:num>
  <w:num w:numId="19" w16cid:durableId="386688087">
    <w:abstractNumId w:val="20"/>
  </w:num>
  <w:num w:numId="20" w16cid:durableId="1864317529">
    <w:abstractNumId w:val="0"/>
  </w:num>
  <w:num w:numId="21" w16cid:durableId="829172862">
    <w:abstractNumId w:val="10"/>
  </w:num>
  <w:num w:numId="22" w16cid:durableId="943074597">
    <w:abstractNumId w:val="2"/>
  </w:num>
  <w:num w:numId="23" w16cid:durableId="1987393985">
    <w:abstractNumId w:val="1"/>
  </w:num>
  <w:num w:numId="24" w16cid:durableId="1554729078">
    <w:abstractNumId w:val="22"/>
  </w:num>
  <w:num w:numId="25" w16cid:durableId="1640577657">
    <w:abstractNumId w:val="15"/>
  </w:num>
  <w:num w:numId="26" w16cid:durableId="1527938430">
    <w:abstractNumId w:val="19"/>
  </w:num>
  <w:num w:numId="27" w16cid:durableId="1465007596">
    <w:abstractNumId w:val="7"/>
  </w:num>
  <w:num w:numId="28" w16cid:durableId="112680021">
    <w:abstractNumId w:val="5"/>
  </w:num>
  <w:num w:numId="29" w16cid:durableId="17698878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55C24"/>
    <w:rsid w:val="0005777C"/>
    <w:rsid w:val="00060412"/>
    <w:rsid w:val="00067FC0"/>
    <w:rsid w:val="000852B7"/>
    <w:rsid w:val="00085B1D"/>
    <w:rsid w:val="0009698E"/>
    <w:rsid w:val="000A6FB2"/>
    <w:rsid w:val="000B144F"/>
    <w:rsid w:val="000B147F"/>
    <w:rsid w:val="000C33A0"/>
    <w:rsid w:val="000E4CB9"/>
    <w:rsid w:val="00116260"/>
    <w:rsid w:val="001177BE"/>
    <w:rsid w:val="00143814"/>
    <w:rsid w:val="001531A8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E6D4E"/>
    <w:rsid w:val="001F1120"/>
    <w:rsid w:val="001F1F4B"/>
    <w:rsid w:val="001F25B2"/>
    <w:rsid w:val="001F53BC"/>
    <w:rsid w:val="002002AD"/>
    <w:rsid w:val="002055E6"/>
    <w:rsid w:val="00205700"/>
    <w:rsid w:val="002213B8"/>
    <w:rsid w:val="00227F9E"/>
    <w:rsid w:val="00233931"/>
    <w:rsid w:val="00236F24"/>
    <w:rsid w:val="002433FE"/>
    <w:rsid w:val="0024744E"/>
    <w:rsid w:val="00261AB9"/>
    <w:rsid w:val="00274713"/>
    <w:rsid w:val="00274B0B"/>
    <w:rsid w:val="002925F7"/>
    <w:rsid w:val="002A0F47"/>
    <w:rsid w:val="002A1296"/>
    <w:rsid w:val="002A48BF"/>
    <w:rsid w:val="002B0339"/>
    <w:rsid w:val="002C5889"/>
    <w:rsid w:val="002C66BF"/>
    <w:rsid w:val="002E1186"/>
    <w:rsid w:val="002E4632"/>
    <w:rsid w:val="002E5688"/>
    <w:rsid w:val="002F389D"/>
    <w:rsid w:val="002F4F14"/>
    <w:rsid w:val="0030237C"/>
    <w:rsid w:val="00312004"/>
    <w:rsid w:val="003255EF"/>
    <w:rsid w:val="00331230"/>
    <w:rsid w:val="00333907"/>
    <w:rsid w:val="00340A67"/>
    <w:rsid w:val="003462FB"/>
    <w:rsid w:val="00346553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3F3469"/>
    <w:rsid w:val="00410FAB"/>
    <w:rsid w:val="004219F4"/>
    <w:rsid w:val="00430735"/>
    <w:rsid w:val="00440ECB"/>
    <w:rsid w:val="004430AA"/>
    <w:rsid w:val="004615E4"/>
    <w:rsid w:val="00474B6C"/>
    <w:rsid w:val="00485854"/>
    <w:rsid w:val="004920C0"/>
    <w:rsid w:val="00496EEB"/>
    <w:rsid w:val="004A1CE3"/>
    <w:rsid w:val="004A6235"/>
    <w:rsid w:val="004C5967"/>
    <w:rsid w:val="004D31C7"/>
    <w:rsid w:val="004D70A6"/>
    <w:rsid w:val="004E0DC2"/>
    <w:rsid w:val="004E567A"/>
    <w:rsid w:val="004E5B64"/>
    <w:rsid w:val="004F000A"/>
    <w:rsid w:val="004F0316"/>
    <w:rsid w:val="004F0AA9"/>
    <w:rsid w:val="004F3773"/>
    <w:rsid w:val="0050089F"/>
    <w:rsid w:val="005031F0"/>
    <w:rsid w:val="00505E12"/>
    <w:rsid w:val="005066AB"/>
    <w:rsid w:val="00510F81"/>
    <w:rsid w:val="00523A41"/>
    <w:rsid w:val="005345AD"/>
    <w:rsid w:val="00535EDC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A4BAC"/>
    <w:rsid w:val="005C65F0"/>
    <w:rsid w:val="0060241B"/>
    <w:rsid w:val="00611757"/>
    <w:rsid w:val="00621A46"/>
    <w:rsid w:val="0062577D"/>
    <w:rsid w:val="00653E42"/>
    <w:rsid w:val="006563C7"/>
    <w:rsid w:val="00656D0B"/>
    <w:rsid w:val="00657426"/>
    <w:rsid w:val="00682FD5"/>
    <w:rsid w:val="0069439D"/>
    <w:rsid w:val="006A1925"/>
    <w:rsid w:val="006B0B67"/>
    <w:rsid w:val="006B4DA2"/>
    <w:rsid w:val="006D2BC4"/>
    <w:rsid w:val="006D3DA7"/>
    <w:rsid w:val="006D5DBA"/>
    <w:rsid w:val="006F12B1"/>
    <w:rsid w:val="00701BBE"/>
    <w:rsid w:val="00702522"/>
    <w:rsid w:val="00715C15"/>
    <w:rsid w:val="00716A05"/>
    <w:rsid w:val="007315BD"/>
    <w:rsid w:val="00732A18"/>
    <w:rsid w:val="0074171D"/>
    <w:rsid w:val="00745BC2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56818"/>
    <w:rsid w:val="00882CEE"/>
    <w:rsid w:val="008831D4"/>
    <w:rsid w:val="00887333"/>
    <w:rsid w:val="0089107E"/>
    <w:rsid w:val="00892687"/>
    <w:rsid w:val="008A5670"/>
    <w:rsid w:val="008B64AF"/>
    <w:rsid w:val="008C0910"/>
    <w:rsid w:val="008D64DE"/>
    <w:rsid w:val="008F0E9A"/>
    <w:rsid w:val="008F215A"/>
    <w:rsid w:val="008F32C2"/>
    <w:rsid w:val="008F4A7D"/>
    <w:rsid w:val="009048E1"/>
    <w:rsid w:val="00911E5E"/>
    <w:rsid w:val="00914638"/>
    <w:rsid w:val="00921AE4"/>
    <w:rsid w:val="009257E1"/>
    <w:rsid w:val="009422F0"/>
    <w:rsid w:val="00965B97"/>
    <w:rsid w:val="00967350"/>
    <w:rsid w:val="0097494F"/>
    <w:rsid w:val="009975AA"/>
    <w:rsid w:val="009B2ED3"/>
    <w:rsid w:val="009B7F27"/>
    <w:rsid w:val="009B7F39"/>
    <w:rsid w:val="009C0E18"/>
    <w:rsid w:val="009C1DCA"/>
    <w:rsid w:val="009C1F30"/>
    <w:rsid w:val="009C25BE"/>
    <w:rsid w:val="009E628D"/>
    <w:rsid w:val="009F4ADF"/>
    <w:rsid w:val="00A0243A"/>
    <w:rsid w:val="00A17FDC"/>
    <w:rsid w:val="00A228E5"/>
    <w:rsid w:val="00A24822"/>
    <w:rsid w:val="00A41ACB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95E01"/>
    <w:rsid w:val="00AA1834"/>
    <w:rsid w:val="00AA2C33"/>
    <w:rsid w:val="00AB1736"/>
    <w:rsid w:val="00AC5F9B"/>
    <w:rsid w:val="00AC645E"/>
    <w:rsid w:val="00AD1536"/>
    <w:rsid w:val="00AD5CCB"/>
    <w:rsid w:val="00AE0BA4"/>
    <w:rsid w:val="00B00A43"/>
    <w:rsid w:val="00B07FC4"/>
    <w:rsid w:val="00B1270E"/>
    <w:rsid w:val="00B25807"/>
    <w:rsid w:val="00B27298"/>
    <w:rsid w:val="00B3212D"/>
    <w:rsid w:val="00B4183A"/>
    <w:rsid w:val="00B50A20"/>
    <w:rsid w:val="00B51C86"/>
    <w:rsid w:val="00B5246F"/>
    <w:rsid w:val="00B54014"/>
    <w:rsid w:val="00B569EE"/>
    <w:rsid w:val="00B626CC"/>
    <w:rsid w:val="00B64A51"/>
    <w:rsid w:val="00B700F0"/>
    <w:rsid w:val="00B72F7C"/>
    <w:rsid w:val="00B74A99"/>
    <w:rsid w:val="00B81F6B"/>
    <w:rsid w:val="00B822C9"/>
    <w:rsid w:val="00B85C6E"/>
    <w:rsid w:val="00B9659C"/>
    <w:rsid w:val="00BA0A18"/>
    <w:rsid w:val="00BB3A19"/>
    <w:rsid w:val="00BC39A7"/>
    <w:rsid w:val="00BF0992"/>
    <w:rsid w:val="00BF6F71"/>
    <w:rsid w:val="00C0188A"/>
    <w:rsid w:val="00C020F9"/>
    <w:rsid w:val="00C02873"/>
    <w:rsid w:val="00C23FA8"/>
    <w:rsid w:val="00C332E8"/>
    <w:rsid w:val="00C43527"/>
    <w:rsid w:val="00C54218"/>
    <w:rsid w:val="00C72E27"/>
    <w:rsid w:val="00C77819"/>
    <w:rsid w:val="00C80E37"/>
    <w:rsid w:val="00C8305B"/>
    <w:rsid w:val="00C85699"/>
    <w:rsid w:val="00C9205B"/>
    <w:rsid w:val="00C92CE5"/>
    <w:rsid w:val="00CA05D5"/>
    <w:rsid w:val="00CA1FB1"/>
    <w:rsid w:val="00CA4FCF"/>
    <w:rsid w:val="00CB2515"/>
    <w:rsid w:val="00CB2830"/>
    <w:rsid w:val="00CB5B25"/>
    <w:rsid w:val="00CC3211"/>
    <w:rsid w:val="00CC755D"/>
    <w:rsid w:val="00CE3797"/>
    <w:rsid w:val="00D0156B"/>
    <w:rsid w:val="00D048E3"/>
    <w:rsid w:val="00D06D25"/>
    <w:rsid w:val="00D164B8"/>
    <w:rsid w:val="00D2499C"/>
    <w:rsid w:val="00D30DDE"/>
    <w:rsid w:val="00D500E6"/>
    <w:rsid w:val="00D8345B"/>
    <w:rsid w:val="00DA0205"/>
    <w:rsid w:val="00DA4E0A"/>
    <w:rsid w:val="00DA763D"/>
    <w:rsid w:val="00DB4156"/>
    <w:rsid w:val="00DB5707"/>
    <w:rsid w:val="00DC6881"/>
    <w:rsid w:val="00DD15EF"/>
    <w:rsid w:val="00DD508D"/>
    <w:rsid w:val="00DF0F8D"/>
    <w:rsid w:val="00DF64AA"/>
    <w:rsid w:val="00E04273"/>
    <w:rsid w:val="00E10578"/>
    <w:rsid w:val="00E13E50"/>
    <w:rsid w:val="00E144D6"/>
    <w:rsid w:val="00E24F67"/>
    <w:rsid w:val="00E35DDD"/>
    <w:rsid w:val="00E431DF"/>
    <w:rsid w:val="00E447C9"/>
    <w:rsid w:val="00E45199"/>
    <w:rsid w:val="00E4665E"/>
    <w:rsid w:val="00E517A4"/>
    <w:rsid w:val="00E52E6D"/>
    <w:rsid w:val="00E54E8F"/>
    <w:rsid w:val="00E55BD7"/>
    <w:rsid w:val="00E62C0D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27AA"/>
    <w:rsid w:val="00ED431D"/>
    <w:rsid w:val="00EE04FF"/>
    <w:rsid w:val="00EE5A18"/>
    <w:rsid w:val="00EE679F"/>
    <w:rsid w:val="00F03AA8"/>
    <w:rsid w:val="00F474DD"/>
    <w:rsid w:val="00F503FB"/>
    <w:rsid w:val="00F71C71"/>
    <w:rsid w:val="00F72246"/>
    <w:rsid w:val="00F75A30"/>
    <w:rsid w:val="00F8050E"/>
    <w:rsid w:val="00F81763"/>
    <w:rsid w:val="00F83DA9"/>
    <w:rsid w:val="00FB2B74"/>
    <w:rsid w:val="00FB2B8F"/>
    <w:rsid w:val="00FB70C7"/>
    <w:rsid w:val="00FC0356"/>
    <w:rsid w:val="00FC3151"/>
    <w:rsid w:val="00FC6BD8"/>
    <w:rsid w:val="00FE4C75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B700F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F389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5E4"/>
    <w:rPr>
      <w:color w:val="605E5C"/>
      <w:shd w:val="clear" w:color="auto" w:fill="E1DFDD"/>
    </w:rPr>
  </w:style>
  <w:style w:type="paragraph" w:customStyle="1" w:styleId="Default">
    <w:name w:val="Default"/>
    <w:rsid w:val="00AE0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ben@itagui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F71E-9380-43F5-AAD4-89880EFC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Maria Camila Mazo Vásquez</cp:lastModifiedBy>
  <cp:revision>20</cp:revision>
  <cp:lastPrinted>2013-07-08T16:49:00Z</cp:lastPrinted>
  <dcterms:created xsi:type="dcterms:W3CDTF">2022-07-11T21:44:00Z</dcterms:created>
  <dcterms:modified xsi:type="dcterms:W3CDTF">2022-10-20T14:39:00Z</dcterms:modified>
</cp:coreProperties>
</file>