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6048" w14:textId="77777777" w:rsidR="00AE68A5" w:rsidRDefault="00AE68A5" w:rsidP="00AE68A5">
      <w:pPr>
        <w:spacing w:line="0" w:lineRule="atLeast"/>
        <w:jc w:val="center"/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"/>
        <w:gridCol w:w="1984"/>
        <w:gridCol w:w="653"/>
        <w:gridCol w:w="1473"/>
        <w:gridCol w:w="2030"/>
      </w:tblGrid>
      <w:tr w:rsidR="00AE68A5" w14:paraId="123537C3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733" w14:textId="39B0A70D" w:rsidR="00AE68A5" w:rsidRDefault="00AE68A5" w:rsidP="009F612C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</w:tc>
      </w:tr>
      <w:tr w:rsidR="00AE68A5" w14:paraId="1F8F7731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B37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TRE</w:t>
            </w:r>
          </w:p>
          <w:p w14:paraId="5154595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7ACA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AUTO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037452BB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E04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FECHA AUTO</w:t>
            </w:r>
          </w:p>
          <w:p w14:paraId="486D2E2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61EDB98E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60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667843D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7F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79022260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3388C050" w14:textId="77777777" w:rsidTr="00AE68A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0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751454B6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39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0F7CED8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B92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D1E823C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B9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626ABAA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4F122DD9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6C1" w14:textId="1223F9AF" w:rsidR="00AE68A5" w:rsidRDefault="004B016F" w:rsidP="001B49AE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B016F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“Por medio del cual se practica una Liquidación Provisional”</w:t>
            </w:r>
          </w:p>
        </w:tc>
      </w:tr>
    </w:tbl>
    <w:p w14:paraId="12F7456F" w14:textId="77777777" w:rsidR="00A60BCD" w:rsidRPr="00A60BCD" w:rsidRDefault="00A60BCD" w:rsidP="0069013C">
      <w:pPr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0E62427" w14:textId="2A68E253" w:rsidR="00396B6B" w:rsidRDefault="00396B6B" w:rsidP="00396B6B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La Oficina de Fiscalización, Control y Cobro Persuasivo </w:t>
      </w:r>
      <w:r w:rsidR="003510C2">
        <w:rPr>
          <w:rFonts w:ascii="Arial" w:hAnsi="Arial" w:cs="Arial"/>
          <w:sz w:val="22"/>
          <w:szCs w:val="22"/>
        </w:rPr>
        <w:t xml:space="preserve">del Municipio de Itagüí, </w:t>
      </w:r>
      <w:r w:rsidRPr="004B016F">
        <w:rPr>
          <w:rFonts w:ascii="Arial" w:hAnsi="Arial" w:cs="Arial"/>
          <w:sz w:val="22"/>
          <w:szCs w:val="22"/>
        </w:rPr>
        <w:t xml:space="preserve">en uso de las atribuciones legales, especialmente las </w:t>
      </w:r>
      <w:r>
        <w:rPr>
          <w:rFonts w:ascii="Arial" w:hAnsi="Arial" w:cs="Arial"/>
          <w:sz w:val="22"/>
          <w:szCs w:val="22"/>
        </w:rPr>
        <w:t xml:space="preserve">conferidas por los </w:t>
      </w:r>
      <w:r w:rsidR="003510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rtículos</w:t>
      </w:r>
      <w:r w:rsidRPr="004B016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80</w:t>
      </w:r>
      <w:r w:rsidRPr="004B01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30</w:t>
      </w:r>
      <w:r w:rsidR="003510C2">
        <w:rPr>
          <w:rFonts w:ascii="Arial" w:hAnsi="Arial" w:cs="Arial"/>
          <w:sz w:val="22"/>
          <w:szCs w:val="22"/>
        </w:rPr>
        <w:t>0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38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40, 377</w:t>
      </w:r>
      <w:r w:rsidRPr="004B016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383</w:t>
      </w:r>
      <w:r w:rsidRPr="004B016F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 </w:t>
      </w:r>
      <w:r w:rsidR="003510C2">
        <w:rPr>
          <w:rFonts w:ascii="Arial" w:hAnsi="Arial" w:cs="Arial"/>
          <w:sz w:val="22"/>
          <w:szCs w:val="22"/>
        </w:rPr>
        <w:t xml:space="preserve">Acuerdo 023 de 2021 - </w:t>
      </w:r>
      <w:r>
        <w:rPr>
          <w:rFonts w:ascii="Arial" w:hAnsi="Arial" w:cs="Arial"/>
          <w:sz w:val="22"/>
          <w:szCs w:val="22"/>
          <w:lang w:eastAsia="es-CO"/>
        </w:rPr>
        <w:t>Estatuto Tributario Municipal</w:t>
      </w:r>
      <w:r w:rsidR="003510C2">
        <w:rPr>
          <w:rFonts w:ascii="Arial" w:hAnsi="Arial" w:cs="Arial"/>
          <w:sz w:val="22"/>
          <w:szCs w:val="22"/>
          <w:lang w:eastAsia="es-CO"/>
        </w:rPr>
        <w:t>,</w:t>
      </w:r>
      <w:r w:rsidRPr="00D940EE">
        <w:rPr>
          <w:rFonts w:ascii="Arial" w:hAnsi="Arial" w:cs="Arial"/>
          <w:sz w:val="22"/>
          <w:szCs w:val="22"/>
        </w:rPr>
        <w:t xml:space="preserve"> </w:t>
      </w:r>
      <w:r w:rsidR="002F030A">
        <w:rPr>
          <w:rFonts w:ascii="Arial" w:hAnsi="Arial" w:cs="Arial"/>
          <w:sz w:val="22"/>
          <w:szCs w:val="22"/>
        </w:rPr>
        <w:t>Decreto Municipal 317 de 2022</w:t>
      </w:r>
      <w:r w:rsidRPr="00D940EE">
        <w:rPr>
          <w:rFonts w:ascii="Arial" w:hAnsi="Arial" w:cs="Arial"/>
          <w:sz w:val="22"/>
          <w:szCs w:val="22"/>
        </w:rPr>
        <w:t xml:space="preserve">, </w:t>
      </w:r>
      <w:r w:rsidRPr="004B016F">
        <w:rPr>
          <w:rFonts w:ascii="Arial" w:hAnsi="Arial" w:cs="Arial"/>
          <w:sz w:val="22"/>
          <w:szCs w:val="22"/>
        </w:rPr>
        <w:t xml:space="preserve">y demás normas </w:t>
      </w:r>
      <w:r w:rsidR="003510C2">
        <w:rPr>
          <w:rFonts w:ascii="Arial" w:hAnsi="Arial" w:cs="Arial"/>
          <w:sz w:val="22"/>
          <w:szCs w:val="22"/>
        </w:rPr>
        <w:t xml:space="preserve">que rigen </w:t>
      </w:r>
      <w:r w:rsidRPr="004B016F">
        <w:rPr>
          <w:rFonts w:ascii="Arial" w:hAnsi="Arial" w:cs="Arial"/>
          <w:sz w:val="22"/>
          <w:szCs w:val="22"/>
        </w:rPr>
        <w:t>la materia</w:t>
      </w:r>
      <w:r w:rsidR="003510C2">
        <w:rPr>
          <w:rFonts w:ascii="Arial" w:hAnsi="Arial" w:cs="Arial"/>
          <w:sz w:val="22"/>
          <w:szCs w:val="22"/>
        </w:rPr>
        <w:t>,</w:t>
      </w:r>
    </w:p>
    <w:p w14:paraId="67743A1C" w14:textId="77777777" w:rsidR="00396B6B" w:rsidRPr="004B016F" w:rsidRDefault="00396B6B" w:rsidP="004B016F">
      <w:pPr>
        <w:rPr>
          <w:rFonts w:ascii="Arial" w:hAnsi="Arial" w:cs="Arial"/>
          <w:b/>
          <w:sz w:val="22"/>
          <w:szCs w:val="22"/>
        </w:rPr>
      </w:pPr>
    </w:p>
    <w:p w14:paraId="30984E05" w14:textId="77777777" w:rsidR="004B016F" w:rsidRPr="004B016F" w:rsidRDefault="004B016F" w:rsidP="004B016F">
      <w:pPr>
        <w:jc w:val="center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CONSIDERANDO</w:t>
      </w:r>
    </w:p>
    <w:p w14:paraId="5DF5D295" w14:textId="77777777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0406C7AC" w14:textId="77777777" w:rsidR="003510C2" w:rsidRPr="00EE7854" w:rsidRDefault="003510C2" w:rsidP="003510C2">
      <w:pPr>
        <w:contextualSpacing/>
        <w:jc w:val="both"/>
        <w:rPr>
          <w:rFonts w:ascii="Arial" w:hAnsi="Arial" w:cs="Arial"/>
          <w:sz w:val="22"/>
          <w:szCs w:val="22"/>
          <w:lang w:eastAsia="es-CO"/>
        </w:rPr>
      </w:pPr>
      <w:r w:rsidRPr="00EE7854">
        <w:rPr>
          <w:rFonts w:ascii="Arial" w:hAnsi="Arial" w:cs="Arial"/>
          <w:sz w:val="22"/>
          <w:szCs w:val="22"/>
          <w:lang w:eastAsia="es-CO"/>
        </w:rPr>
        <w:t xml:space="preserve">Que de conformidad con lo establecido en los artículos 293 y siguientes del Estatuto Tributario Municipal, los </w:t>
      </w:r>
      <w:r w:rsidRPr="00EE7854">
        <w:rPr>
          <w:rFonts w:ascii="Arial" w:hAnsi="Arial" w:cs="Arial"/>
          <w:color w:val="FF0000"/>
          <w:sz w:val="22"/>
          <w:szCs w:val="22"/>
        </w:rPr>
        <w:t>contribuyentes/agente de retención</w:t>
      </w:r>
      <w:r w:rsidRPr="00EE7854">
        <w:rPr>
          <w:rFonts w:ascii="Arial" w:hAnsi="Arial" w:cs="Arial"/>
          <w:sz w:val="22"/>
          <w:szCs w:val="22"/>
        </w:rPr>
        <w:t xml:space="preserve"> de </w:t>
      </w:r>
      <w:r w:rsidRPr="00EE7854">
        <w:rPr>
          <w:rFonts w:ascii="Arial" w:hAnsi="Arial" w:cs="Arial"/>
          <w:sz w:val="22"/>
          <w:szCs w:val="22"/>
          <w:lang w:eastAsia="es-CO"/>
        </w:rPr>
        <w:t>tributos vigentes en esta jurisdicción deben cumplir con una serie de obligaciones sustanciales y formales establecidas en la norma.</w:t>
      </w:r>
    </w:p>
    <w:p w14:paraId="1326D4FF" w14:textId="77777777" w:rsidR="003510C2" w:rsidRPr="00EE7854" w:rsidRDefault="003510C2" w:rsidP="003510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O"/>
        </w:rPr>
      </w:pPr>
    </w:p>
    <w:p w14:paraId="53C6075D" w14:textId="77777777" w:rsidR="003510C2" w:rsidRPr="00EE7854" w:rsidRDefault="003510C2" w:rsidP="003510C2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EE7854">
        <w:rPr>
          <w:rFonts w:ascii="Arial" w:hAnsi="Arial" w:cs="Arial"/>
          <w:sz w:val="22"/>
          <w:szCs w:val="22"/>
        </w:rPr>
        <w:t xml:space="preserve">Que ante el eventual incumplimiento de una obligación tributaria, corresponde al  Jefe  de la Oficina de </w:t>
      </w:r>
      <w:r w:rsidRPr="00EE7854">
        <w:rPr>
          <w:rFonts w:ascii="Arial" w:hAnsi="Arial" w:cs="Arial"/>
          <w:sz w:val="22"/>
          <w:szCs w:val="22"/>
          <w:lang w:eastAsia="es-CO"/>
        </w:rPr>
        <w:t xml:space="preserve">Fiscalización, Control y Cobro Persuasivo </w:t>
      </w:r>
      <w:r w:rsidRPr="00EE7854">
        <w:rPr>
          <w:rFonts w:ascii="Arial" w:hAnsi="Arial" w:cs="Arial"/>
          <w:sz w:val="22"/>
          <w:szCs w:val="22"/>
        </w:rPr>
        <w:t xml:space="preserve">de conformidad con el artículo 340 del </w:t>
      </w:r>
      <w:r w:rsidRPr="00EE7854">
        <w:rPr>
          <w:rFonts w:ascii="Arial" w:hAnsi="Arial" w:cs="Arial"/>
          <w:sz w:val="22"/>
          <w:szCs w:val="22"/>
          <w:lang w:eastAsia="es-CO"/>
        </w:rPr>
        <w:t>Estatuto Tributario Municipal, proferir las actuaciones correspondientes al proceso de fiscalización y determinación de impuestos</w:t>
      </w:r>
    </w:p>
    <w:p w14:paraId="6F15549F" w14:textId="77777777" w:rsidR="003510C2" w:rsidRDefault="003510C2" w:rsidP="003510C2">
      <w:pPr>
        <w:jc w:val="both"/>
        <w:rPr>
          <w:rFonts w:ascii="Arial" w:hAnsi="Arial" w:cs="Arial"/>
          <w:sz w:val="22"/>
          <w:szCs w:val="22"/>
        </w:rPr>
      </w:pPr>
    </w:p>
    <w:p w14:paraId="205C4FCD" w14:textId="77777777" w:rsidR="003510C2" w:rsidRPr="00D23CAA" w:rsidRDefault="003510C2" w:rsidP="003510C2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Que </w:t>
      </w:r>
      <w:r>
        <w:rPr>
          <w:rFonts w:ascii="Arial" w:eastAsia="Calibri" w:hAnsi="Arial" w:cs="Arial"/>
          <w:sz w:val="22"/>
          <w:szCs w:val="22"/>
          <w:lang w:val="es-CO" w:eastAsia="en-US"/>
        </w:rPr>
        <w:t>el señor(a)/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>sociedad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Pr="00D23CAA">
        <w:rPr>
          <w:rFonts w:ascii="Arial" w:eastAsia="Calibri" w:hAnsi="Arial" w:cs="Arial"/>
          <w:b/>
          <w:sz w:val="22"/>
          <w:szCs w:val="22"/>
          <w:lang w:val="es-CO" w:eastAsia="en-US"/>
        </w:rPr>
        <w:t>(insertar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>) identificad</w:t>
      </w:r>
      <w:r>
        <w:rPr>
          <w:rFonts w:ascii="Arial" w:eastAsia="Calibri" w:hAnsi="Arial" w:cs="Arial"/>
          <w:sz w:val="22"/>
          <w:szCs w:val="22"/>
          <w:lang w:val="es-CO" w:eastAsia="en-US"/>
        </w:rPr>
        <w:t>o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 con </w:t>
      </w:r>
      <w:r w:rsidRPr="00D23CAA">
        <w:rPr>
          <w:rFonts w:ascii="Arial" w:eastAsia="Calibri" w:hAnsi="Arial" w:cs="Arial"/>
          <w:b/>
          <w:sz w:val="22"/>
          <w:szCs w:val="22"/>
          <w:lang w:val="es-CO" w:eastAsia="en-US"/>
        </w:rPr>
        <w:t>NIT (insertar)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>, es sujeto pasivo</w:t>
      </w:r>
      <w:r>
        <w:rPr>
          <w:rFonts w:ascii="Arial" w:eastAsia="Calibri" w:hAnsi="Arial" w:cs="Arial"/>
          <w:sz w:val="22"/>
          <w:szCs w:val="22"/>
          <w:lang w:val="es-CO" w:eastAsia="en-US"/>
        </w:rPr>
        <w:t>/agente retenedor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 del </w:t>
      </w:r>
      <w:r>
        <w:rPr>
          <w:rFonts w:ascii="Arial" w:eastAsia="Calibri" w:hAnsi="Arial" w:cs="Arial"/>
          <w:sz w:val="22"/>
          <w:szCs w:val="22"/>
          <w:lang w:val="es-CO" w:eastAsia="en-US"/>
        </w:rPr>
        <w:t>i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mpuesto de Industria y Comercio 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en el Municipio de Itagüí por el </w:t>
      </w:r>
      <w:r>
        <w:rPr>
          <w:rFonts w:ascii="Arial" w:eastAsia="Calibri" w:hAnsi="Arial" w:cs="Arial"/>
          <w:sz w:val="22"/>
          <w:szCs w:val="22"/>
          <w:lang w:eastAsia="en-US"/>
        </w:rPr>
        <w:t>periodo gravable/bimestre (</w:t>
      </w:r>
      <w:r w:rsidRPr="007B5BD7">
        <w:rPr>
          <w:rFonts w:ascii="Arial" w:eastAsia="Calibri" w:hAnsi="Arial" w:cs="Arial"/>
          <w:b/>
          <w:sz w:val="22"/>
          <w:szCs w:val="22"/>
          <w:lang w:eastAsia="en-US"/>
        </w:rPr>
        <w:t>insertar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con motivo de </w:t>
      </w:r>
      <w:r w:rsidRPr="007B5BD7">
        <w:rPr>
          <w:rFonts w:ascii="Arial" w:eastAsia="Calibri" w:hAnsi="Arial" w:cs="Arial"/>
          <w:color w:val="FF0000"/>
          <w:sz w:val="22"/>
          <w:szCs w:val="22"/>
          <w:lang w:val="es-CO" w:eastAsia="en-US"/>
        </w:rPr>
        <w:t>(indicar las razones por las cuales es sujeto pasivo/agente retenedor)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 en esta jurisdicción. </w:t>
      </w:r>
    </w:p>
    <w:p w14:paraId="106E1EA7" w14:textId="77777777" w:rsidR="003510C2" w:rsidRPr="00D23CAA" w:rsidRDefault="003510C2" w:rsidP="003510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6B9AA277" w14:textId="77777777" w:rsidR="003510C2" w:rsidRPr="00C55B70" w:rsidRDefault="003510C2" w:rsidP="003510C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5B70">
        <w:rPr>
          <w:rFonts w:ascii="Arial" w:eastAsia="Calibri" w:hAnsi="Arial" w:cs="Arial"/>
          <w:sz w:val="22"/>
          <w:szCs w:val="22"/>
          <w:lang w:eastAsia="en-US"/>
        </w:rPr>
        <w:t xml:space="preserve">Que efectuadas las verificaciones pertinentes en los sistemas de información de la administración, se </w:t>
      </w:r>
      <w:r>
        <w:rPr>
          <w:rFonts w:ascii="Arial" w:eastAsia="Calibri" w:hAnsi="Arial" w:cs="Arial"/>
          <w:sz w:val="22"/>
          <w:szCs w:val="22"/>
          <w:lang w:eastAsia="en-US"/>
        </w:rPr>
        <w:t>comprobó</w:t>
      </w:r>
      <w:r w:rsidRPr="00C55B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21990">
        <w:rPr>
          <w:rFonts w:ascii="Arial" w:hAnsi="Arial" w:cs="Arial"/>
          <w:sz w:val="22"/>
          <w:szCs w:val="22"/>
        </w:rPr>
        <w:t xml:space="preserve">que el </w:t>
      </w:r>
      <w:r w:rsidRPr="00C07243">
        <w:rPr>
          <w:rFonts w:ascii="Arial" w:hAnsi="Arial" w:cs="Arial"/>
          <w:color w:val="FF0000"/>
          <w:sz w:val="22"/>
          <w:szCs w:val="22"/>
        </w:rPr>
        <w:t xml:space="preserve">contribuyente/agente de retención </w:t>
      </w:r>
      <w:r w:rsidRPr="007B5BD7">
        <w:rPr>
          <w:rFonts w:ascii="Arial" w:hAnsi="Arial" w:cs="Arial"/>
          <w:b/>
          <w:sz w:val="22"/>
          <w:szCs w:val="22"/>
        </w:rPr>
        <w:t>(insertar</w:t>
      </w:r>
      <w:r w:rsidRPr="00E21990">
        <w:rPr>
          <w:rFonts w:ascii="Arial" w:hAnsi="Arial" w:cs="Arial"/>
          <w:sz w:val="22"/>
          <w:szCs w:val="22"/>
        </w:rPr>
        <w:t xml:space="preserve">), no presentó la declaración </w:t>
      </w:r>
      <w:r>
        <w:rPr>
          <w:rFonts w:ascii="Arial" w:hAnsi="Arial" w:cs="Arial"/>
          <w:sz w:val="22"/>
          <w:szCs w:val="22"/>
        </w:rPr>
        <w:t xml:space="preserve">correspondiente por el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periodo gravable/bimestre </w:t>
      </w:r>
      <w:r w:rsidRPr="007B5BD7">
        <w:rPr>
          <w:rFonts w:ascii="Arial" w:eastAsia="Calibri" w:hAnsi="Arial" w:cs="Arial"/>
          <w:b/>
          <w:sz w:val="22"/>
          <w:szCs w:val="22"/>
          <w:lang w:eastAsia="en-US"/>
        </w:rPr>
        <w:t>(insertar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 w:rsidRPr="00E21990">
        <w:rPr>
          <w:rFonts w:ascii="Arial" w:hAnsi="Arial" w:cs="Arial"/>
          <w:sz w:val="22"/>
          <w:szCs w:val="22"/>
        </w:rPr>
        <w:t>a pesar de estar obligado</w:t>
      </w:r>
      <w:r w:rsidRPr="00C55B7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B414E23" w14:textId="77777777" w:rsidR="003510C2" w:rsidRDefault="003510C2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3CCBD6" w14:textId="46629BD8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Que </w:t>
      </w:r>
      <w:r w:rsidR="003510C2">
        <w:rPr>
          <w:rFonts w:ascii="Arial" w:hAnsi="Arial" w:cs="Arial"/>
          <w:sz w:val="22"/>
          <w:szCs w:val="22"/>
        </w:rPr>
        <w:t xml:space="preserve">de conformidad con lo establecido en los artículos 377 a 383 del Estatuto Tributario Municipal, ante </w:t>
      </w:r>
      <w:r w:rsidRPr="004B016F">
        <w:rPr>
          <w:rFonts w:ascii="Arial" w:hAnsi="Arial" w:cs="Arial"/>
          <w:sz w:val="22"/>
          <w:szCs w:val="22"/>
        </w:rPr>
        <w:t xml:space="preserve"> la omisión en la presentación de la declaración del</w:t>
      </w:r>
      <w:r w:rsidR="000630BD" w:rsidRPr="000630BD">
        <w:rPr>
          <w:rFonts w:ascii="Arial" w:hAnsi="Arial" w:cs="Arial"/>
          <w:sz w:val="22"/>
          <w:szCs w:val="22"/>
        </w:rPr>
        <w:t xml:space="preserve"> </w:t>
      </w:r>
      <w:r w:rsidR="003510C2">
        <w:rPr>
          <w:rFonts w:ascii="Arial" w:hAnsi="Arial" w:cs="Arial"/>
          <w:sz w:val="22"/>
          <w:szCs w:val="22"/>
        </w:rPr>
        <w:t>i</w:t>
      </w:r>
      <w:r w:rsidR="000630BD">
        <w:rPr>
          <w:rFonts w:ascii="Arial" w:hAnsi="Arial" w:cs="Arial"/>
          <w:sz w:val="22"/>
          <w:szCs w:val="22"/>
        </w:rPr>
        <w:t>mpuesto/retención</w:t>
      </w:r>
      <w:r w:rsidRPr="004B016F">
        <w:rPr>
          <w:rFonts w:ascii="Arial" w:hAnsi="Arial" w:cs="Arial"/>
          <w:sz w:val="22"/>
          <w:szCs w:val="22"/>
        </w:rPr>
        <w:t xml:space="preserve"> de industria y comercio, la Oficina de Fiscalización, Control y Cobro Persuasivo, </w:t>
      </w:r>
      <w:r w:rsidRPr="004B016F">
        <w:rPr>
          <w:rFonts w:ascii="Arial" w:hAnsi="Arial" w:cs="Arial"/>
          <w:color w:val="000000" w:themeColor="text1"/>
          <w:sz w:val="22"/>
          <w:szCs w:val="22"/>
        </w:rPr>
        <w:t>podrá</w:t>
      </w:r>
      <w:r w:rsidR="003510C2">
        <w:rPr>
          <w:rFonts w:ascii="Arial" w:hAnsi="Arial" w:cs="Arial"/>
          <w:color w:val="000000" w:themeColor="text1"/>
          <w:sz w:val="22"/>
          <w:szCs w:val="22"/>
        </w:rPr>
        <w:t xml:space="preserve"> hacer uso de la Liquidación Provisional</w:t>
      </w:r>
      <w:r w:rsidR="00577E70">
        <w:rPr>
          <w:rFonts w:ascii="Arial" w:hAnsi="Arial" w:cs="Arial"/>
          <w:color w:val="000000" w:themeColor="text1"/>
          <w:sz w:val="22"/>
          <w:szCs w:val="22"/>
        </w:rPr>
        <w:t xml:space="preserve"> para imponer la sanción </w:t>
      </w:r>
      <w:r w:rsidRPr="004B016F">
        <w:rPr>
          <w:rFonts w:ascii="Arial" w:hAnsi="Arial" w:cs="Arial"/>
          <w:color w:val="000000" w:themeColor="text1"/>
          <w:sz w:val="22"/>
          <w:szCs w:val="22"/>
        </w:rPr>
        <w:t xml:space="preserve">por no declarar y determinar el </w:t>
      </w:r>
      <w:r w:rsidR="00577E70">
        <w:rPr>
          <w:rFonts w:ascii="Arial" w:hAnsi="Arial" w:cs="Arial"/>
          <w:color w:val="000000" w:themeColor="text1"/>
          <w:sz w:val="22"/>
          <w:szCs w:val="22"/>
        </w:rPr>
        <w:t>i</w:t>
      </w:r>
      <w:r w:rsidR="000630BD">
        <w:rPr>
          <w:rFonts w:ascii="Arial" w:hAnsi="Arial" w:cs="Arial"/>
          <w:sz w:val="22"/>
          <w:szCs w:val="22"/>
        </w:rPr>
        <w:t>mpuesto/retención</w:t>
      </w:r>
      <w:r w:rsidR="00577E70">
        <w:rPr>
          <w:rFonts w:ascii="Arial" w:hAnsi="Arial" w:cs="Arial"/>
          <w:sz w:val="22"/>
          <w:szCs w:val="22"/>
        </w:rPr>
        <w:t xml:space="preserve"> a cargo del contribuyente omiso</w:t>
      </w:r>
      <w:r w:rsidR="00A5352B">
        <w:rPr>
          <w:rFonts w:ascii="Arial" w:hAnsi="Arial" w:cs="Arial"/>
          <w:sz w:val="22"/>
          <w:szCs w:val="22"/>
          <w:lang w:eastAsia="es-CO"/>
        </w:rPr>
        <w:t>.</w:t>
      </w:r>
    </w:p>
    <w:p w14:paraId="0264B3BA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4F9805" w14:textId="45B885F2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Que durante el año 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(año gravable anterior al año en discusión, v.gr. si la presente trata del </w:t>
      </w:r>
      <w:r w:rsidR="00577E70">
        <w:rPr>
          <w:rFonts w:ascii="Arial" w:hAnsi="Arial" w:cs="Arial"/>
          <w:color w:val="FF0000"/>
          <w:sz w:val="22"/>
          <w:szCs w:val="22"/>
        </w:rPr>
        <w:t xml:space="preserve">periodo </w:t>
      </w:r>
      <w:r w:rsidRPr="004B016F">
        <w:rPr>
          <w:rFonts w:ascii="Arial" w:hAnsi="Arial" w:cs="Arial"/>
          <w:color w:val="FF0000"/>
          <w:sz w:val="22"/>
          <w:szCs w:val="22"/>
        </w:rPr>
        <w:t>gravable 20</w:t>
      </w:r>
      <w:r w:rsidR="00577E70">
        <w:rPr>
          <w:rFonts w:ascii="Arial" w:hAnsi="Arial" w:cs="Arial"/>
          <w:color w:val="FF0000"/>
          <w:sz w:val="22"/>
          <w:szCs w:val="22"/>
        </w:rPr>
        <w:t>18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, </w:t>
      </w:r>
      <w:r w:rsidR="00577E70">
        <w:rPr>
          <w:rFonts w:ascii="Arial" w:hAnsi="Arial" w:cs="Arial"/>
          <w:color w:val="FF0000"/>
          <w:sz w:val="22"/>
          <w:szCs w:val="22"/>
        </w:rPr>
        <w:t>se verifica el año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 201</w:t>
      </w:r>
      <w:r w:rsidR="00577E70">
        <w:rPr>
          <w:rFonts w:ascii="Arial" w:hAnsi="Arial" w:cs="Arial"/>
          <w:color w:val="FF0000"/>
          <w:sz w:val="22"/>
          <w:szCs w:val="22"/>
        </w:rPr>
        <w:t>7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) </w:t>
      </w:r>
      <w:r w:rsidRPr="004B016F">
        <w:rPr>
          <w:rFonts w:ascii="Arial" w:hAnsi="Arial" w:cs="Arial"/>
          <w:sz w:val="22"/>
          <w:szCs w:val="22"/>
        </w:rPr>
        <w:t xml:space="preserve">el </w:t>
      </w:r>
      <w:r w:rsidR="000630BD" w:rsidRPr="000630BD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0630BD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 xml:space="preserve">obtuvo ingresos iguales o inferiores a 15.000 UVT 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(la UVT será la del año del período que está en discusión; para el ejemplo, la </w:t>
      </w:r>
      <w:proofErr w:type="spellStart"/>
      <w:r w:rsidRPr="004B016F">
        <w:rPr>
          <w:rFonts w:ascii="Arial" w:hAnsi="Arial" w:cs="Arial"/>
          <w:color w:val="FF0000"/>
          <w:sz w:val="22"/>
          <w:szCs w:val="22"/>
        </w:rPr>
        <w:t>uvt</w:t>
      </w:r>
      <w:proofErr w:type="spellEnd"/>
      <w:r w:rsidRPr="004B016F">
        <w:rPr>
          <w:rFonts w:ascii="Arial" w:hAnsi="Arial" w:cs="Arial"/>
          <w:color w:val="FF0000"/>
          <w:sz w:val="22"/>
          <w:szCs w:val="22"/>
        </w:rPr>
        <w:t xml:space="preserve"> del año 201</w:t>
      </w:r>
      <w:r w:rsidR="00577E70">
        <w:rPr>
          <w:rFonts w:ascii="Arial" w:hAnsi="Arial" w:cs="Arial"/>
          <w:color w:val="FF0000"/>
          <w:sz w:val="22"/>
          <w:szCs w:val="22"/>
        </w:rPr>
        <w:t>8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) </w:t>
      </w:r>
      <w:r w:rsidRPr="004B016F">
        <w:rPr>
          <w:rFonts w:ascii="Arial" w:hAnsi="Arial" w:cs="Arial"/>
          <w:color w:val="000000" w:themeColor="text1"/>
          <w:sz w:val="22"/>
          <w:szCs w:val="22"/>
        </w:rPr>
        <w:t xml:space="preserve">por lo cual podrá proferirse liquidación provisional en los términos antes señalados. </w:t>
      </w:r>
    </w:p>
    <w:p w14:paraId="2E964841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5EA0A8" w14:textId="19409A48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Que los ingresos brutos percibidos por el </w:t>
      </w:r>
      <w:r w:rsidR="000630BD" w:rsidRPr="000630BD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0630BD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>(INSERTAR)</w:t>
      </w:r>
      <w:r w:rsidR="00577E70">
        <w:rPr>
          <w:rFonts w:ascii="Arial" w:hAnsi="Arial" w:cs="Arial"/>
          <w:sz w:val="22"/>
          <w:szCs w:val="22"/>
        </w:rPr>
        <w:t xml:space="preserve"> durante el periodo gravable (INSERTAR) ascienden a $ (INSERTAR), los cuales fueron determinados haciendo uso de</w:t>
      </w:r>
      <w:r w:rsidRPr="004B016F">
        <w:rPr>
          <w:rFonts w:ascii="Arial" w:hAnsi="Arial" w:cs="Arial"/>
          <w:sz w:val="22"/>
          <w:szCs w:val="22"/>
        </w:rPr>
        <w:t xml:space="preserve"> </w:t>
      </w:r>
      <w:r w:rsidRPr="004B016F">
        <w:rPr>
          <w:rFonts w:ascii="Arial" w:hAnsi="Arial" w:cs="Arial"/>
          <w:color w:val="FF0000"/>
          <w:sz w:val="22"/>
          <w:szCs w:val="22"/>
        </w:rPr>
        <w:t>(INDICAR LA FORMA DE TASACIÓN DE LOS INGRESOS</w:t>
      </w:r>
      <w:r w:rsidR="000630BD">
        <w:rPr>
          <w:rFonts w:ascii="Arial" w:hAnsi="Arial" w:cs="Arial"/>
          <w:color w:val="FF0000"/>
          <w:sz w:val="22"/>
          <w:szCs w:val="22"/>
        </w:rPr>
        <w:t xml:space="preserve"> O BASE DE RETENCIÓN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 A FIN DE DETERMINAR EL IMPUESTO</w:t>
      </w:r>
      <w:r w:rsidR="000630BD">
        <w:rPr>
          <w:rFonts w:ascii="Arial" w:hAnsi="Arial" w:cs="Arial"/>
          <w:color w:val="FF0000"/>
          <w:sz w:val="22"/>
          <w:szCs w:val="22"/>
        </w:rPr>
        <w:t xml:space="preserve"> O RETENCIÓN A CARGO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), </w:t>
      </w:r>
      <w:r w:rsidRPr="004B016F">
        <w:rPr>
          <w:rFonts w:ascii="Arial" w:hAnsi="Arial" w:cs="Arial"/>
          <w:sz w:val="22"/>
          <w:szCs w:val="22"/>
        </w:rPr>
        <w:t xml:space="preserve">por lo tanto se toma este valor como referencia para la imposición de la sanción por no declarar y para el cálculo del </w:t>
      </w:r>
      <w:r w:rsidR="00577E70">
        <w:rPr>
          <w:rFonts w:ascii="Arial" w:hAnsi="Arial" w:cs="Arial"/>
          <w:sz w:val="22"/>
          <w:szCs w:val="22"/>
        </w:rPr>
        <w:t>i</w:t>
      </w:r>
      <w:r w:rsidRPr="004B016F">
        <w:rPr>
          <w:rFonts w:ascii="Arial" w:hAnsi="Arial" w:cs="Arial"/>
          <w:sz w:val="22"/>
          <w:szCs w:val="22"/>
        </w:rPr>
        <w:t>mpuesto</w:t>
      </w:r>
      <w:r w:rsidR="00577E70">
        <w:rPr>
          <w:rFonts w:ascii="Arial" w:hAnsi="Arial" w:cs="Arial"/>
          <w:sz w:val="22"/>
          <w:szCs w:val="22"/>
        </w:rPr>
        <w:t>/retención</w:t>
      </w:r>
      <w:r w:rsidRPr="004B016F">
        <w:rPr>
          <w:rFonts w:ascii="Arial" w:hAnsi="Arial" w:cs="Arial"/>
          <w:sz w:val="22"/>
          <w:szCs w:val="22"/>
        </w:rPr>
        <w:t>.</w:t>
      </w:r>
    </w:p>
    <w:p w14:paraId="07462BF8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1181E4" w14:textId="249AB464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B016F">
        <w:rPr>
          <w:rFonts w:ascii="Arial" w:hAnsi="Arial" w:cs="Arial"/>
          <w:color w:val="000000"/>
          <w:sz w:val="22"/>
          <w:szCs w:val="22"/>
        </w:rPr>
        <w:t>Que la sanción por no declar</w:t>
      </w:r>
      <w:r w:rsidR="005622B2">
        <w:rPr>
          <w:rFonts w:ascii="Arial" w:hAnsi="Arial" w:cs="Arial"/>
          <w:color w:val="000000"/>
          <w:sz w:val="22"/>
          <w:szCs w:val="22"/>
        </w:rPr>
        <w:t xml:space="preserve">ar </w:t>
      </w:r>
      <w:r w:rsidR="00577E70">
        <w:rPr>
          <w:rFonts w:ascii="Arial" w:hAnsi="Arial" w:cs="Arial"/>
          <w:color w:val="000000"/>
          <w:sz w:val="22"/>
          <w:szCs w:val="22"/>
        </w:rPr>
        <w:t xml:space="preserve">contenida </w:t>
      </w:r>
      <w:r w:rsidR="005622B2">
        <w:rPr>
          <w:rFonts w:ascii="Arial" w:hAnsi="Arial" w:cs="Arial"/>
          <w:color w:val="000000"/>
          <w:sz w:val="22"/>
          <w:szCs w:val="22"/>
        </w:rPr>
        <w:t>en el artículo 21</w:t>
      </w:r>
      <w:r w:rsidRPr="004B016F">
        <w:rPr>
          <w:rFonts w:ascii="Arial" w:hAnsi="Arial" w:cs="Arial"/>
          <w:color w:val="000000"/>
          <w:sz w:val="22"/>
          <w:szCs w:val="22"/>
        </w:rPr>
        <w:t>9 del Estatuto Tributario Municipal</w:t>
      </w:r>
      <w:r w:rsidR="00577E70">
        <w:rPr>
          <w:rFonts w:ascii="Arial" w:hAnsi="Arial" w:cs="Arial"/>
          <w:color w:val="000000"/>
          <w:sz w:val="22"/>
          <w:szCs w:val="22"/>
        </w:rPr>
        <w:t>, establece</w:t>
      </w:r>
      <w:r w:rsidRPr="004B016F">
        <w:rPr>
          <w:rFonts w:ascii="Arial" w:hAnsi="Arial" w:cs="Arial"/>
          <w:color w:val="000000"/>
          <w:sz w:val="22"/>
          <w:szCs w:val="22"/>
        </w:rPr>
        <w:t xml:space="preserve"> </w:t>
      </w:r>
      <w:r w:rsidR="00577E70">
        <w:rPr>
          <w:rFonts w:ascii="Arial" w:hAnsi="Arial" w:cs="Arial"/>
          <w:color w:val="000000"/>
          <w:sz w:val="22"/>
          <w:szCs w:val="22"/>
        </w:rPr>
        <w:t>dispone</w:t>
      </w:r>
      <w:r w:rsidRPr="004B016F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03C0E0E" w14:textId="77777777" w:rsidR="005622B2" w:rsidRDefault="005622B2" w:rsidP="004B016F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10C5AD56" w14:textId="77777777" w:rsidR="00626140" w:rsidRPr="00DF49E8" w:rsidRDefault="00626140" w:rsidP="00577E70">
      <w:pPr>
        <w:pStyle w:val="Descripcin"/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t xml:space="preserve">ARTÍCULO </w:t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fldChar w:fldCharType="begin"/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instrText xml:space="preserve"> SEQ ARTÍCULO \* ARABIC </w:instrText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fldChar w:fldCharType="separate"/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t>219</w:t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fldChar w:fldCharType="end"/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t>. SANCIÓN POR NO DECLARAR</w:t>
      </w:r>
      <w:r w:rsidRPr="00962A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DF49E8"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  <w:t>La falta absoluta de declaración acarreará una sanción que dependerá del tributo o concepto respecto del cual no se presentó la declaración, así:</w:t>
      </w:r>
    </w:p>
    <w:p w14:paraId="0A9787D9" w14:textId="77777777" w:rsidR="00626140" w:rsidRPr="00DF49E8" w:rsidRDefault="00626140" w:rsidP="00577E70">
      <w:pPr>
        <w:ind w:left="454"/>
        <w:rPr>
          <w:rFonts w:ascii="Arial" w:hAnsi="Arial" w:cs="Arial"/>
          <w:i/>
          <w:sz w:val="20"/>
          <w:szCs w:val="20"/>
        </w:rPr>
      </w:pPr>
    </w:p>
    <w:p w14:paraId="72434DDF" w14:textId="339D5BCC" w:rsidR="00626140" w:rsidRPr="002E6B6E" w:rsidRDefault="00626140" w:rsidP="00577E70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454"/>
        <w:jc w:val="both"/>
        <w:rPr>
          <w:rFonts w:ascii="Arial" w:hAnsi="Arial" w:cs="Arial"/>
          <w:i/>
          <w:sz w:val="20"/>
          <w:szCs w:val="20"/>
        </w:rPr>
      </w:pPr>
      <w:r w:rsidRPr="002E6B6E">
        <w:rPr>
          <w:rFonts w:ascii="Arial" w:hAnsi="Arial" w:cs="Arial"/>
          <w:i/>
          <w:sz w:val="20"/>
          <w:szCs w:val="20"/>
        </w:rPr>
        <w:lastRenderedPageBreak/>
        <w:t>En caso de que la omisión se refiera a la declaración del impuesto de Industria y Comercio, la sanción por no declarar será del diez por ciento (10%) del valor de los ingresos brutos obtenidos en el Municipio de Itagüí, por el período al cual corresponda la declaración no presentada; en caso de no poder determinar la base señalada anteriormente, se aplicará el diez por ciento (10%) a los ingresos brutos percibidos en el Municipio de Itagüí, según la última declaración del Impuesto de Industria y Comercio correspondiente a un periodo anterior al que se encuentra en proceso.</w:t>
      </w:r>
    </w:p>
    <w:p w14:paraId="1B0F4D24" w14:textId="77777777" w:rsidR="00626140" w:rsidRPr="00DF49E8" w:rsidRDefault="00626140" w:rsidP="00577E70">
      <w:pPr>
        <w:pStyle w:val="Prrafodelista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14:paraId="350F0B90" w14:textId="75D76780" w:rsidR="00626140" w:rsidRPr="00DF49E8" w:rsidRDefault="00626140" w:rsidP="00577E70">
      <w:pPr>
        <w:pStyle w:val="Descripcin"/>
        <w:numPr>
          <w:ilvl w:val="0"/>
          <w:numId w:val="19"/>
        </w:numPr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  <w:r w:rsidRPr="002E6B6E"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  <w:t xml:space="preserve">En el caso de que la omisión se refiera a la declaración de la </w:t>
      </w:r>
      <w:r w:rsidRPr="00DF49E8"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  <w:t>sobretasa a la gasolina, la sanción será equivalente al treinta por ciento (30%) del total a cargo que figure en la última declaración presentada por el mismo concepto, o al treinta por ciento (30%) del valor de las ventas de gasolina o ACPM efectuadas en el mismo período objeto de la sanción, en el caso de que no exista última declaración.</w:t>
      </w:r>
    </w:p>
    <w:p w14:paraId="1D3B509B" w14:textId="77777777" w:rsidR="00626140" w:rsidRPr="00DF49E8" w:rsidRDefault="00626140" w:rsidP="00577E70">
      <w:pPr>
        <w:pStyle w:val="Descripcin"/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</w:p>
    <w:p w14:paraId="0790141E" w14:textId="3B6E0218" w:rsidR="00626140" w:rsidRPr="002E6B6E" w:rsidRDefault="00626140" w:rsidP="00577E7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2E6B6E">
        <w:rPr>
          <w:rFonts w:ascii="Arial" w:eastAsia="Times New Roman" w:hAnsi="Arial" w:cs="Arial"/>
          <w:i/>
          <w:sz w:val="20"/>
          <w:szCs w:val="20"/>
          <w:lang w:val="es-ES" w:eastAsia="es-ES"/>
        </w:rPr>
        <w:t>En el caso de que la omisión se refiera a la declaración de retención de Industria y Comercio, la sanción será equivalente al diez por ciento (10%) de los costos y gastos del omiso generados por concepto de actividades gravadas con Industria y Comercio en el Municipio de Itagüí, por el período al cual corresponda la declaración no presentada; en caso de no poder determinar la base señalada anteriormente, se aplicará cinco (5) veces el valor de las retenciones que figuren en la última declaración de retenciones presentada, correspondiente a un periodo anterior al que se encuentra en determinación</w:t>
      </w:r>
    </w:p>
    <w:p w14:paraId="3D607327" w14:textId="77777777" w:rsidR="00626140" w:rsidRPr="00DF49E8" w:rsidRDefault="00626140" w:rsidP="00577E70">
      <w:pPr>
        <w:pStyle w:val="Descripcin"/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</w:p>
    <w:p w14:paraId="382E781C" w14:textId="41C9E5A3" w:rsidR="00626140" w:rsidRPr="00DF49E8" w:rsidRDefault="00626140" w:rsidP="00577E70">
      <w:pPr>
        <w:pStyle w:val="Descripcin"/>
        <w:numPr>
          <w:ilvl w:val="0"/>
          <w:numId w:val="19"/>
        </w:numPr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  <w:r w:rsidRPr="00DF49E8"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  <w:t xml:space="preserve">En el caso de que la omisión se refiera a otras declaraciones tributarias, la sanción por no declarar será equivalente a cinco (5) veces el valor del impuesto, tasa, contribución o autorretención que ha debido pagarse. </w:t>
      </w:r>
    </w:p>
    <w:p w14:paraId="62AA57F5" w14:textId="0166C981" w:rsidR="00626140" w:rsidRPr="00ED2E13" w:rsidRDefault="00577E70" w:rsidP="00626140">
      <w:pPr>
        <w:pStyle w:val="Sinespaciad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       (…)</w:t>
      </w:r>
    </w:p>
    <w:p w14:paraId="1A821059" w14:textId="77777777" w:rsidR="005622B2" w:rsidRPr="004B016F" w:rsidRDefault="005622B2" w:rsidP="004B016F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6BA3F9C5" w14:textId="77777777" w:rsidR="00393B37" w:rsidRPr="00D23CAA" w:rsidRDefault="00393B37" w:rsidP="00393B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D23CAA">
        <w:rPr>
          <w:rFonts w:ascii="Arial" w:eastAsia="Calibri" w:hAnsi="Arial" w:cs="Arial"/>
          <w:sz w:val="22"/>
          <w:szCs w:val="22"/>
          <w:lang w:eastAsia="en-US"/>
        </w:rPr>
        <w:t>Que de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conformidad con la norma transcrita,</w:t>
      </w:r>
      <w:r w:rsidRPr="00060896">
        <w:rPr>
          <w:rFonts w:ascii="Arial" w:eastAsia="Calibri" w:hAnsi="Arial" w:cs="Arial"/>
          <w:sz w:val="22"/>
          <w:szCs w:val="22"/>
          <w:lang w:val="es-CO" w:eastAsia="es-CO"/>
        </w:rPr>
        <w:t xml:space="preserve"> </w:t>
      </w:r>
      <w:r w:rsidRPr="00D23CAA">
        <w:rPr>
          <w:rFonts w:ascii="Arial" w:eastAsia="Calibri" w:hAnsi="Arial" w:cs="Arial"/>
          <w:sz w:val="22"/>
          <w:szCs w:val="22"/>
          <w:lang w:val="es-CO" w:eastAsia="es-CO"/>
        </w:rPr>
        <w:t xml:space="preserve">la sanción por no declarar </w:t>
      </w:r>
      <w:r>
        <w:rPr>
          <w:rFonts w:ascii="Arial" w:eastAsia="Calibri" w:hAnsi="Arial" w:cs="Arial"/>
          <w:sz w:val="22"/>
          <w:szCs w:val="22"/>
          <w:lang w:val="es-CO" w:eastAsia="es-CO"/>
        </w:rPr>
        <w:t xml:space="preserve">el impuesto de Industria y Comercio/Retención correspondiente al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período gravable/bimestre (insertar), </w:t>
      </w:r>
      <w:r w:rsidRPr="00D23CAA">
        <w:rPr>
          <w:rFonts w:ascii="Arial" w:eastAsia="Calibri" w:hAnsi="Arial" w:cs="Arial"/>
          <w:sz w:val="22"/>
          <w:szCs w:val="22"/>
          <w:lang w:val="es-CO" w:eastAsia="es-CO"/>
        </w:rPr>
        <w:t xml:space="preserve">que se </w:t>
      </w:r>
      <w:r>
        <w:rPr>
          <w:rFonts w:ascii="Arial" w:eastAsia="Calibri" w:hAnsi="Arial" w:cs="Arial"/>
          <w:sz w:val="22"/>
          <w:szCs w:val="22"/>
          <w:lang w:val="es-CO" w:eastAsia="es-CO"/>
        </w:rPr>
        <w:t>impone mediante el presente acto,</w:t>
      </w:r>
      <w:r w:rsidRPr="00D23CAA">
        <w:rPr>
          <w:rFonts w:ascii="Arial" w:eastAsia="Calibri" w:hAnsi="Arial" w:cs="Arial"/>
          <w:sz w:val="22"/>
          <w:szCs w:val="22"/>
          <w:lang w:val="es-CO" w:eastAsia="es-CO"/>
        </w:rPr>
        <w:t xml:space="preserve"> se determina así: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5BD7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(INDICAR DE DÓNDE SE EXTRAE LA BASE PARA SANCIONAR: INGRESOS BRUTOS, CONSIGNACIONES, COSTOS Y GASTOS) </w:t>
      </w:r>
    </w:p>
    <w:p w14:paraId="1E989B3C" w14:textId="77777777" w:rsidR="00393B37" w:rsidRPr="00D23CAA" w:rsidRDefault="00393B37" w:rsidP="00393B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O" w:eastAsia="es-C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3222"/>
        <w:gridCol w:w="1720"/>
        <w:gridCol w:w="2090"/>
      </w:tblGrid>
      <w:tr w:rsidR="00393B37" w:rsidRPr="00D23CAA" w14:paraId="7C6A33C5" w14:textId="77777777" w:rsidTr="00C74B8C">
        <w:tc>
          <w:tcPr>
            <w:tcW w:w="2835" w:type="dxa"/>
            <w:hideMark/>
          </w:tcPr>
          <w:p w14:paraId="5F88189F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  <w:t>EL HECHO SANCIONATORIO</w:t>
            </w:r>
          </w:p>
        </w:tc>
        <w:tc>
          <w:tcPr>
            <w:tcW w:w="3261" w:type="dxa"/>
            <w:hideMark/>
          </w:tcPr>
          <w:p w14:paraId="03258513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  <w:t>BASE PARA SANCIÓN</w:t>
            </w:r>
          </w:p>
        </w:tc>
        <w:tc>
          <w:tcPr>
            <w:tcW w:w="1720" w:type="dxa"/>
            <w:hideMark/>
          </w:tcPr>
          <w:p w14:paraId="516EE04D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  <w:t>PORCENTAJE</w:t>
            </w:r>
          </w:p>
        </w:tc>
        <w:tc>
          <w:tcPr>
            <w:tcW w:w="2107" w:type="dxa"/>
            <w:hideMark/>
          </w:tcPr>
          <w:p w14:paraId="259FBEDF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  <w:t>VALOR SANCIÓN</w:t>
            </w:r>
          </w:p>
        </w:tc>
      </w:tr>
      <w:tr w:rsidR="00393B37" w:rsidRPr="00D23CAA" w14:paraId="71CE2E6D" w14:textId="77777777" w:rsidTr="00C74B8C">
        <w:tc>
          <w:tcPr>
            <w:tcW w:w="2835" w:type="dxa"/>
            <w:hideMark/>
          </w:tcPr>
          <w:p w14:paraId="115106B4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Cs/>
                <w:sz w:val="22"/>
                <w:szCs w:val="22"/>
                <w:lang w:val="es-CO" w:eastAsia="en-US"/>
              </w:rPr>
              <w:t>No presentación de la Declaración de Industria y comercio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CO" w:eastAsia="en-US"/>
              </w:rPr>
              <w:t>/Retención</w:t>
            </w:r>
          </w:p>
        </w:tc>
        <w:tc>
          <w:tcPr>
            <w:tcW w:w="3261" w:type="dxa"/>
            <w:hideMark/>
          </w:tcPr>
          <w:p w14:paraId="6C7ADDDC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</w:p>
          <w:p w14:paraId="409E4326" w14:textId="77777777" w:rsidR="00393B37" w:rsidRPr="00D23CAA" w:rsidRDefault="00393B37" w:rsidP="00C74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3CAA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$</w:t>
            </w:r>
          </w:p>
          <w:p w14:paraId="1282D6F5" w14:textId="77777777" w:rsidR="00393B37" w:rsidRPr="00D23CAA" w:rsidRDefault="00393B37" w:rsidP="00C74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407D39CA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</w:p>
          <w:p w14:paraId="1F1ECA7C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10%</w:t>
            </w:r>
          </w:p>
        </w:tc>
        <w:tc>
          <w:tcPr>
            <w:tcW w:w="2107" w:type="dxa"/>
          </w:tcPr>
          <w:p w14:paraId="7B4AB130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</w:p>
          <w:p w14:paraId="7B7C7CD7" w14:textId="77777777" w:rsidR="00393B37" w:rsidRPr="00D23CAA" w:rsidRDefault="00393B37" w:rsidP="00C74B8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$</w:t>
            </w:r>
          </w:p>
        </w:tc>
      </w:tr>
    </w:tbl>
    <w:p w14:paraId="0E018A22" w14:textId="77777777" w:rsidR="00802BB7" w:rsidRPr="004B016F" w:rsidRDefault="00802BB7" w:rsidP="00802B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D228A2" w14:textId="0DA5AE6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Una vez </w:t>
      </w:r>
      <w:r w:rsidR="00393B37">
        <w:rPr>
          <w:rFonts w:ascii="Arial" w:hAnsi="Arial" w:cs="Arial"/>
          <w:sz w:val="22"/>
          <w:szCs w:val="22"/>
        </w:rPr>
        <w:t>n</w:t>
      </w:r>
      <w:r w:rsidRPr="004B016F">
        <w:rPr>
          <w:rFonts w:ascii="Arial" w:hAnsi="Arial" w:cs="Arial"/>
          <w:sz w:val="22"/>
          <w:szCs w:val="22"/>
        </w:rPr>
        <w:t xml:space="preserve">otificada la Liquidación Provisional, el </w:t>
      </w:r>
      <w:r w:rsidR="000630BD" w:rsidRPr="000630BD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Pr="004B016F">
        <w:rPr>
          <w:rFonts w:ascii="Arial" w:hAnsi="Arial" w:cs="Arial"/>
          <w:sz w:val="22"/>
          <w:szCs w:val="22"/>
        </w:rPr>
        <w:t xml:space="preserve">tendrá un (1) mes para aceptarla, rechazarla o solicitar su modificación por una única vez; en este último caso deberá manifestar los motivos de inconformidad en un memorial dirigido a la Oficina de Fiscalización, Control y Cobro Persuasivo, </w:t>
      </w:r>
      <w:r w:rsidRPr="004B016F">
        <w:rPr>
          <w:rFonts w:ascii="Arial" w:eastAsia="PMingLiU" w:hAnsi="Arial" w:cs="Arial"/>
          <w:sz w:val="22"/>
          <w:szCs w:val="22"/>
          <w:lang w:eastAsia="es-MX"/>
        </w:rPr>
        <w:t xml:space="preserve">el cual deberá presentarse en la Unidad de Correspondencia ubicada en el primer piso del Centro Administrativo Municipal de Itagüí (CAMI) Carrera 51 No. 51 – 55, teléfono </w:t>
      </w:r>
      <w:r w:rsidR="00805E6D">
        <w:rPr>
          <w:rFonts w:ascii="Arial" w:eastAsia="PMingLiU" w:hAnsi="Arial" w:cs="Arial"/>
          <w:sz w:val="22"/>
          <w:szCs w:val="22"/>
          <w:lang w:eastAsia="es-MX"/>
        </w:rPr>
        <w:t>604</w:t>
      </w:r>
      <w:r w:rsidR="00CB16A5">
        <w:rPr>
          <w:rFonts w:ascii="Arial" w:eastAsia="PMingLiU" w:hAnsi="Arial" w:cs="Arial"/>
          <w:sz w:val="22"/>
          <w:szCs w:val="22"/>
          <w:lang w:eastAsia="es-MX"/>
        </w:rPr>
        <w:t>3737676.</w:t>
      </w:r>
    </w:p>
    <w:p w14:paraId="1A6DCC22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BBF7CD" w14:textId="79B9B1D3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En todos los casos, si el </w:t>
      </w:r>
      <w:r w:rsidR="000630BD" w:rsidRPr="00CC40D2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CC40D2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>opta por aceptar voluntariamente la Liquidación Provisional, deberá hacerlo en forma total, respecto de los ingresos y la determinación del impuesto</w:t>
      </w:r>
      <w:r w:rsidR="00393B37">
        <w:rPr>
          <w:rFonts w:ascii="Arial" w:hAnsi="Arial" w:cs="Arial"/>
          <w:sz w:val="22"/>
          <w:szCs w:val="22"/>
        </w:rPr>
        <w:t>/retención</w:t>
      </w:r>
      <w:r w:rsidRPr="004B016F">
        <w:rPr>
          <w:rFonts w:ascii="Arial" w:hAnsi="Arial" w:cs="Arial"/>
          <w:sz w:val="22"/>
          <w:szCs w:val="22"/>
        </w:rPr>
        <w:t xml:space="preserve"> a cargo, pero podrá liquidarse la sanción por extemporaneidad de conformidad con el artículo 21</w:t>
      </w:r>
      <w:r w:rsidR="00A267A4">
        <w:rPr>
          <w:rFonts w:ascii="Arial" w:hAnsi="Arial" w:cs="Arial"/>
          <w:sz w:val="22"/>
          <w:szCs w:val="22"/>
        </w:rPr>
        <w:t>8</w:t>
      </w:r>
      <w:r w:rsidRPr="004B016F">
        <w:rPr>
          <w:rFonts w:ascii="Arial" w:hAnsi="Arial" w:cs="Arial"/>
          <w:sz w:val="22"/>
          <w:szCs w:val="22"/>
        </w:rPr>
        <w:t xml:space="preserve"> del E.T.M., esto es, el 10% del impuesto</w:t>
      </w:r>
      <w:r w:rsidR="00393B37">
        <w:rPr>
          <w:rFonts w:ascii="Arial" w:hAnsi="Arial" w:cs="Arial"/>
          <w:sz w:val="22"/>
          <w:szCs w:val="22"/>
        </w:rPr>
        <w:t>/retención</w:t>
      </w:r>
      <w:r w:rsidRPr="004B016F">
        <w:rPr>
          <w:rFonts w:ascii="Arial" w:hAnsi="Arial" w:cs="Arial"/>
          <w:sz w:val="22"/>
          <w:szCs w:val="22"/>
        </w:rPr>
        <w:t xml:space="preserve"> a cargo por cada mes o fracción de mes de retraso, sin que exceda el 200% del impuesto. </w:t>
      </w:r>
    </w:p>
    <w:p w14:paraId="121E48BF" w14:textId="77777777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5C507F2C" w14:textId="77777777" w:rsidR="00582C4C" w:rsidRDefault="00582C4C" w:rsidP="004B016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02DE7BF1" w14:textId="6CC1FDD2" w:rsidR="00582C4C" w:rsidRPr="00582C4C" w:rsidRDefault="00582C4C" w:rsidP="00393B37">
      <w:pPr>
        <w:pStyle w:val="Descripcin"/>
        <w:spacing w:after="0"/>
        <w:ind w:left="170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“</w:t>
      </w:r>
      <w:r w:rsidRPr="00582C4C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t xml:space="preserve">ARTÍCULO </w:t>
      </w:r>
      <w:r w:rsidRPr="00582C4C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fldChar w:fldCharType="begin"/>
      </w:r>
      <w:r w:rsidRPr="00582C4C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instrText xml:space="preserve"> SEQ ARTÍCULO \* ARABIC </w:instrText>
      </w:r>
      <w:r w:rsidRPr="00582C4C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fldChar w:fldCharType="separate"/>
      </w:r>
      <w:r w:rsidRPr="00582C4C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t>218</w:t>
      </w:r>
      <w:r w:rsidRPr="00582C4C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fldChar w:fldCharType="end"/>
      </w:r>
      <w:r w:rsidRPr="00582C4C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t>. SANCIÓN POR EXTEMPORANEIDAD EN LA DECLARACIÓN PRIVADA CON POSTERIORIDAD AL EMPLAZAMIENTO.</w:t>
      </w:r>
      <w:r w:rsidRPr="00962A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582C4C"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  <w:t>Los contribuyentes y responsables, que presenten la declaración con posterioridad al emplazamiento para declarar, deberán liquidar y pagar una sanción por extemporaneidad por cada mes o fracción de mes calendario de retardo, equivalente al diez por ciento (10%) del total del impuesto a cargo o retención objeto de la declaración tributaria, sin exceder del doscientos por ciento (200%) del impuesto o retención, según el caso.</w:t>
      </w:r>
    </w:p>
    <w:p w14:paraId="54C94574" w14:textId="77777777" w:rsidR="00582C4C" w:rsidRDefault="00582C4C" w:rsidP="00393B37">
      <w:pPr>
        <w:autoSpaceDE w:val="0"/>
        <w:autoSpaceDN w:val="0"/>
        <w:adjustRightInd w:val="0"/>
        <w:ind w:left="170"/>
        <w:jc w:val="both"/>
        <w:rPr>
          <w:rFonts w:ascii="Arial" w:hAnsi="Arial" w:cs="Arial"/>
          <w:i/>
          <w:sz w:val="20"/>
          <w:szCs w:val="20"/>
        </w:rPr>
      </w:pPr>
      <w:r w:rsidRPr="004B016F">
        <w:rPr>
          <w:rFonts w:ascii="Arial" w:hAnsi="Arial" w:cs="Arial"/>
          <w:i/>
          <w:sz w:val="20"/>
          <w:szCs w:val="20"/>
        </w:rPr>
        <w:t>(…)”</w:t>
      </w:r>
    </w:p>
    <w:p w14:paraId="45C2948A" w14:textId="77777777" w:rsidR="00582C4C" w:rsidRPr="00582C4C" w:rsidRDefault="00582C4C" w:rsidP="00582C4C">
      <w:pPr>
        <w:rPr>
          <w:lang w:val="es-CO" w:eastAsia="en-US"/>
        </w:rPr>
      </w:pPr>
    </w:p>
    <w:p w14:paraId="003256C7" w14:textId="5974D510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>Lo anterior toda vez que la Liquidación Provisional en una etapa del procedimiento, reemplaza el emplazamiento previo para declarar, razón por la cual la</w:t>
      </w:r>
      <w:r>
        <w:rPr>
          <w:rFonts w:ascii="Arial" w:hAnsi="Arial" w:cs="Arial"/>
          <w:sz w:val="22"/>
          <w:szCs w:val="22"/>
        </w:rPr>
        <w:t xml:space="preserve"> sanción liquidada posterior a </w:t>
      </w:r>
      <w:r w:rsidRPr="004B016F">
        <w:rPr>
          <w:rFonts w:ascii="Arial" w:hAnsi="Arial" w:cs="Arial"/>
          <w:sz w:val="22"/>
          <w:szCs w:val="22"/>
        </w:rPr>
        <w:t xml:space="preserve">este acto, será la del artículo mencionado. </w:t>
      </w:r>
    </w:p>
    <w:p w14:paraId="2637CBA3" w14:textId="63E7E0B0" w:rsid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51A3B5A6" w14:textId="77777777" w:rsidR="00393B37" w:rsidRPr="004B016F" w:rsidRDefault="00393B37" w:rsidP="004B016F">
      <w:pPr>
        <w:jc w:val="both"/>
        <w:rPr>
          <w:rFonts w:ascii="Arial" w:hAnsi="Arial" w:cs="Arial"/>
          <w:sz w:val="22"/>
          <w:szCs w:val="22"/>
        </w:rPr>
      </w:pPr>
    </w:p>
    <w:p w14:paraId="458C00A9" w14:textId="364EC5FF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La Liquidación Provisional se considera aceptada cuando el </w:t>
      </w:r>
      <w:r w:rsidR="000630BD" w:rsidRPr="00CC40D2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CC40D2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>presenta la correspondiente declaración tributaria, en los términos dispuestos en la Liquidación Provisional y atendiendo las formas y procedimientos señalados en el Estatuto Tributario Municipal. La declaración privada deberá presentarse en la Oficina de Fiscalización, Control y Cobro Persuasivo, ubicada en el tercer piso del Centro Administrativo Municipal (CAMI) carrera 51 No. 51 - 55, Itagüí.</w:t>
      </w:r>
    </w:p>
    <w:p w14:paraId="27023075" w14:textId="77777777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1A09C2E9" w14:textId="2451EE32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De igual manera se considera aceptada por el </w:t>
      </w:r>
      <w:r w:rsidR="000630BD" w:rsidRPr="00CC40D2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4B016F">
        <w:rPr>
          <w:rFonts w:ascii="Arial" w:hAnsi="Arial" w:cs="Arial"/>
          <w:sz w:val="22"/>
          <w:szCs w:val="22"/>
        </w:rPr>
        <w:t xml:space="preserve">, cuando este no se pronuncie dentro de los términos previstos en este </w:t>
      </w:r>
      <w:r w:rsidR="0044239D">
        <w:rPr>
          <w:rFonts w:ascii="Arial" w:hAnsi="Arial" w:cs="Arial"/>
          <w:sz w:val="22"/>
          <w:szCs w:val="22"/>
        </w:rPr>
        <w:t>acto</w:t>
      </w:r>
      <w:r w:rsidRPr="004B016F">
        <w:rPr>
          <w:rFonts w:ascii="Arial" w:hAnsi="Arial" w:cs="Arial"/>
          <w:sz w:val="22"/>
          <w:szCs w:val="22"/>
        </w:rPr>
        <w:t>, en cuyo caso la Administración Tributaria podrá iniciar el procedimiento administrativo de cobro tomando como título ejecutivo la liquidación provisional proyectada por la administración.</w:t>
      </w:r>
    </w:p>
    <w:p w14:paraId="03872649" w14:textId="77777777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5BD28D8C" w14:textId="51F47045" w:rsidR="004B016F" w:rsidRDefault="004B016F" w:rsidP="000630BD">
      <w:pPr>
        <w:pStyle w:val="Default"/>
        <w:jc w:val="both"/>
        <w:rPr>
          <w:sz w:val="23"/>
          <w:szCs w:val="23"/>
        </w:rPr>
      </w:pPr>
      <w:r w:rsidRPr="004B016F">
        <w:rPr>
          <w:sz w:val="22"/>
          <w:szCs w:val="22"/>
          <w:lang w:val="es-ES"/>
        </w:rPr>
        <w:t xml:space="preserve">En caso de que el </w:t>
      </w:r>
      <w:r w:rsidR="000630BD" w:rsidRPr="00CC40D2">
        <w:rPr>
          <w:color w:val="FF0000"/>
          <w:sz w:val="22"/>
          <w:szCs w:val="22"/>
        </w:rPr>
        <w:t>contribuyente/agente retenedor</w:t>
      </w:r>
      <w:r w:rsidRPr="00CC40D2">
        <w:rPr>
          <w:color w:val="FF0000"/>
          <w:sz w:val="22"/>
          <w:szCs w:val="22"/>
          <w:lang w:val="es-ES"/>
        </w:rPr>
        <w:t xml:space="preserve"> </w:t>
      </w:r>
      <w:r w:rsidRPr="004B016F">
        <w:rPr>
          <w:sz w:val="22"/>
          <w:szCs w:val="22"/>
          <w:lang w:val="es-ES"/>
        </w:rPr>
        <w:t xml:space="preserve">rechace la Liquidación Provisional, o la Administración Municipal rechace la solicitud de modificación, se dará aplicación al procedimiento de determinación y discusión de los impuestos y sanciones en los términos del artículo </w:t>
      </w:r>
      <w:r w:rsidR="0044239D">
        <w:rPr>
          <w:sz w:val="22"/>
          <w:szCs w:val="22"/>
          <w:lang w:val="es-ES"/>
        </w:rPr>
        <w:t>383 del Acuerdo 023 de 2021</w:t>
      </w:r>
      <w:r w:rsidRPr="004B016F">
        <w:rPr>
          <w:sz w:val="22"/>
          <w:szCs w:val="22"/>
          <w:lang w:val="es-ES"/>
        </w:rPr>
        <w:t>.</w:t>
      </w:r>
    </w:p>
    <w:p w14:paraId="5E309F47" w14:textId="77777777" w:rsidR="004B016F" w:rsidRPr="009F612C" w:rsidRDefault="004B016F" w:rsidP="004B016F">
      <w:pPr>
        <w:pStyle w:val="Textoindependiente2"/>
        <w:tabs>
          <w:tab w:val="left" w:pos="2520"/>
        </w:tabs>
        <w:rPr>
          <w:rFonts w:cs="Arial"/>
          <w:sz w:val="22"/>
          <w:szCs w:val="22"/>
          <w:lang w:val="es-CO"/>
        </w:rPr>
      </w:pPr>
    </w:p>
    <w:p w14:paraId="378D22AE" w14:textId="78E04B38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>En mérito de lo expuesto</w:t>
      </w:r>
      <w:r w:rsidR="0032152C">
        <w:rPr>
          <w:rFonts w:ascii="Arial" w:hAnsi="Arial" w:cs="Arial"/>
          <w:sz w:val="22"/>
          <w:szCs w:val="22"/>
        </w:rPr>
        <w:t>,</w:t>
      </w:r>
      <w:r w:rsidRPr="004B016F">
        <w:rPr>
          <w:rFonts w:ascii="Arial" w:hAnsi="Arial" w:cs="Arial"/>
          <w:sz w:val="22"/>
          <w:szCs w:val="22"/>
        </w:rPr>
        <w:t xml:space="preserve"> la Oficina de Fiscalización, Control y Cobro Persuasivo, </w:t>
      </w:r>
    </w:p>
    <w:p w14:paraId="3C78397D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B4246CD" w14:textId="77777777" w:rsidR="004B016F" w:rsidRPr="004B016F" w:rsidRDefault="004B016F" w:rsidP="004B01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RESUELVE</w:t>
      </w:r>
    </w:p>
    <w:p w14:paraId="68A310DE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2CB1227" w14:textId="297C78E1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 xml:space="preserve">ARTÍCULO PRIMERO. PRACTICAR LIQUIDACIÓN PROVISIONAL </w:t>
      </w:r>
      <w:r w:rsidR="0044239D">
        <w:rPr>
          <w:rFonts w:ascii="Arial" w:hAnsi="Arial" w:cs="Arial"/>
          <w:bCs/>
          <w:sz w:val="22"/>
          <w:szCs w:val="22"/>
        </w:rPr>
        <w:t xml:space="preserve">por medio de la cual se determina el impuesto/retención a cargo y se impone sanción por no declarar el impuesto/retención de Industria y Comercio correspondiente al periodo gravable/bimestre, </w:t>
      </w:r>
      <w:r w:rsidRPr="004B016F">
        <w:rPr>
          <w:rFonts w:ascii="Arial" w:hAnsi="Arial" w:cs="Arial"/>
          <w:sz w:val="22"/>
          <w:szCs w:val="22"/>
        </w:rPr>
        <w:t xml:space="preserve">a cargo del </w:t>
      </w:r>
      <w:r w:rsidRPr="000630BD">
        <w:rPr>
          <w:rFonts w:ascii="Arial" w:hAnsi="Arial" w:cs="Arial"/>
          <w:color w:val="FF0000"/>
          <w:sz w:val="22"/>
          <w:szCs w:val="22"/>
        </w:rPr>
        <w:t>contribuyente</w:t>
      </w:r>
      <w:r w:rsidR="000630BD" w:rsidRPr="000630BD">
        <w:rPr>
          <w:rFonts w:ascii="Arial" w:hAnsi="Arial" w:cs="Arial"/>
          <w:color w:val="FF0000"/>
          <w:sz w:val="22"/>
          <w:szCs w:val="22"/>
        </w:rPr>
        <w:t>/agente retenedor</w:t>
      </w:r>
      <w:r w:rsidRPr="004B016F">
        <w:rPr>
          <w:rFonts w:ascii="Arial" w:hAnsi="Arial" w:cs="Arial"/>
          <w:sz w:val="22"/>
          <w:szCs w:val="22"/>
        </w:rPr>
        <w:t xml:space="preserve"> (</w:t>
      </w:r>
      <w:r w:rsidR="000630BD">
        <w:rPr>
          <w:rFonts w:ascii="Arial" w:hAnsi="Arial" w:cs="Arial"/>
          <w:sz w:val="22"/>
          <w:szCs w:val="22"/>
        </w:rPr>
        <w:t>INSERTAR</w:t>
      </w:r>
      <w:r w:rsidRPr="004B016F">
        <w:rPr>
          <w:rFonts w:ascii="Arial" w:hAnsi="Arial" w:cs="Arial"/>
          <w:sz w:val="22"/>
          <w:szCs w:val="22"/>
        </w:rPr>
        <w:t xml:space="preserve">) identificado con NIT (insertar), </w:t>
      </w:r>
      <w:r w:rsidR="0044239D">
        <w:rPr>
          <w:rFonts w:ascii="Arial" w:hAnsi="Arial" w:cs="Arial"/>
          <w:sz w:val="22"/>
          <w:szCs w:val="22"/>
        </w:rPr>
        <w:t>de conformidad con lo expuesto en la parte motiva del presente acto, la cual quedará así:</w:t>
      </w:r>
    </w:p>
    <w:p w14:paraId="53844586" w14:textId="77777777" w:rsid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F078A" w14:textId="77777777" w:rsidR="00506BB3" w:rsidRDefault="00506BB3" w:rsidP="00506BB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(incluir la liquidación de acuerdo si es impuesto o retención)</w:t>
      </w:r>
    </w:p>
    <w:p w14:paraId="34CA7593" w14:textId="77777777" w:rsidR="00506BB3" w:rsidRPr="004B016F" w:rsidRDefault="00506BB3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5"/>
        <w:gridCol w:w="1418"/>
        <w:gridCol w:w="2410"/>
        <w:gridCol w:w="2828"/>
      </w:tblGrid>
      <w:tr w:rsidR="004B016F" w:rsidRPr="004B016F" w14:paraId="7725C163" w14:textId="77777777" w:rsidTr="009F612C">
        <w:trPr>
          <w:trHeight w:val="329"/>
        </w:trPr>
        <w:tc>
          <w:tcPr>
            <w:tcW w:w="9918" w:type="dxa"/>
            <w:gridSpan w:val="5"/>
            <w:hideMark/>
          </w:tcPr>
          <w:p w14:paraId="146BF9FA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Liquidación del Impuesto de Industria y Comercio y Complementario de Avisos y Tableros</w:t>
            </w:r>
          </w:p>
          <w:p w14:paraId="0D61AC9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Año Gravable </w:t>
            </w:r>
            <w:r w:rsidRPr="004B016F">
              <w:rPr>
                <w:rFonts w:ascii="Arial" w:eastAsia="Calibri" w:hAnsi="Arial" w:cs="Arial"/>
                <w:b/>
                <w:i/>
                <w:sz w:val="22"/>
                <w:szCs w:val="22"/>
                <w:lang w:val="es-MX" w:eastAsia="en-US"/>
              </w:rPr>
              <w:t>(INSERTAR)</w:t>
            </w:r>
          </w:p>
        </w:tc>
      </w:tr>
      <w:tr w:rsidR="004B016F" w:rsidRPr="004B016F" w14:paraId="00F02C21" w14:textId="77777777" w:rsidTr="009F612C">
        <w:trPr>
          <w:trHeight w:val="366"/>
        </w:trPr>
        <w:tc>
          <w:tcPr>
            <w:tcW w:w="9918" w:type="dxa"/>
            <w:gridSpan w:val="5"/>
            <w:hideMark/>
          </w:tcPr>
          <w:p w14:paraId="7E78F231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Determinación de la base anual</w:t>
            </w:r>
          </w:p>
        </w:tc>
      </w:tr>
      <w:tr w:rsidR="004B016F" w:rsidRPr="004B016F" w14:paraId="2C7D47CE" w14:textId="77777777" w:rsidTr="009F612C">
        <w:tc>
          <w:tcPr>
            <w:tcW w:w="7090" w:type="dxa"/>
            <w:gridSpan w:val="4"/>
            <w:hideMark/>
          </w:tcPr>
          <w:p w14:paraId="18D997E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de ingresos ordinarios y extraordinarios del período en todo el país</w:t>
            </w:r>
          </w:p>
        </w:tc>
        <w:tc>
          <w:tcPr>
            <w:tcW w:w="2828" w:type="dxa"/>
            <w:hideMark/>
          </w:tcPr>
          <w:p w14:paraId="6EA4347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53D6161C" w14:textId="77777777" w:rsidTr="009F612C">
        <w:tc>
          <w:tcPr>
            <w:tcW w:w="7090" w:type="dxa"/>
            <w:gridSpan w:val="4"/>
            <w:hideMark/>
          </w:tcPr>
          <w:p w14:paraId="5D387D3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fuera de Itagüí</w:t>
            </w:r>
          </w:p>
        </w:tc>
        <w:tc>
          <w:tcPr>
            <w:tcW w:w="2828" w:type="dxa"/>
            <w:hideMark/>
          </w:tcPr>
          <w:p w14:paraId="5B2920A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459C6E36" w14:textId="77777777" w:rsidTr="009F612C">
        <w:tc>
          <w:tcPr>
            <w:tcW w:w="7090" w:type="dxa"/>
            <w:gridSpan w:val="4"/>
            <w:hideMark/>
          </w:tcPr>
          <w:p w14:paraId="571B048A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ingresos ordinarios y extraordinarios en Itagüí</w:t>
            </w:r>
          </w:p>
        </w:tc>
        <w:tc>
          <w:tcPr>
            <w:tcW w:w="2828" w:type="dxa"/>
            <w:hideMark/>
          </w:tcPr>
          <w:p w14:paraId="428A103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489F599D" w14:textId="77777777" w:rsidTr="009F612C">
        <w:tc>
          <w:tcPr>
            <w:tcW w:w="7090" w:type="dxa"/>
            <w:gridSpan w:val="4"/>
            <w:hideMark/>
          </w:tcPr>
          <w:p w14:paraId="1D3CE6DC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devoluciones, rebajas, descuentos</w:t>
            </w:r>
          </w:p>
        </w:tc>
        <w:tc>
          <w:tcPr>
            <w:tcW w:w="2828" w:type="dxa"/>
            <w:hideMark/>
          </w:tcPr>
          <w:p w14:paraId="44714636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6C0C1111" w14:textId="77777777" w:rsidTr="009F612C">
        <w:tc>
          <w:tcPr>
            <w:tcW w:w="7090" w:type="dxa"/>
            <w:gridSpan w:val="4"/>
            <w:hideMark/>
          </w:tcPr>
          <w:p w14:paraId="243DA74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Ingresos por exportaciones </w:t>
            </w:r>
          </w:p>
        </w:tc>
        <w:tc>
          <w:tcPr>
            <w:tcW w:w="2828" w:type="dxa"/>
            <w:hideMark/>
          </w:tcPr>
          <w:p w14:paraId="6C469D43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70F89246" w14:textId="77777777" w:rsidTr="009F612C">
        <w:tc>
          <w:tcPr>
            <w:tcW w:w="7090" w:type="dxa"/>
            <w:gridSpan w:val="4"/>
          </w:tcPr>
          <w:p w14:paraId="25F7B196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venta de activos fijos</w:t>
            </w:r>
          </w:p>
        </w:tc>
        <w:tc>
          <w:tcPr>
            <w:tcW w:w="2828" w:type="dxa"/>
          </w:tcPr>
          <w:p w14:paraId="2A649D7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2DDC58C7" w14:textId="77777777" w:rsidTr="009F612C">
        <w:tc>
          <w:tcPr>
            <w:tcW w:w="7090" w:type="dxa"/>
            <w:gridSpan w:val="4"/>
          </w:tcPr>
          <w:p w14:paraId="0B10774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excluidas o no sujetas</w:t>
            </w:r>
          </w:p>
        </w:tc>
        <w:tc>
          <w:tcPr>
            <w:tcW w:w="2828" w:type="dxa"/>
          </w:tcPr>
          <w:p w14:paraId="11BD7FC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70EC5BE5" w14:textId="77777777" w:rsidTr="009F612C">
        <w:tc>
          <w:tcPr>
            <w:tcW w:w="7090" w:type="dxa"/>
            <w:gridSpan w:val="4"/>
          </w:tcPr>
          <w:p w14:paraId="79468F73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exentas en Itagüí</w:t>
            </w:r>
          </w:p>
        </w:tc>
        <w:tc>
          <w:tcPr>
            <w:tcW w:w="2828" w:type="dxa"/>
          </w:tcPr>
          <w:p w14:paraId="22FA21B8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2DC51E74" w14:textId="77777777" w:rsidTr="009F612C">
        <w:tc>
          <w:tcPr>
            <w:tcW w:w="7090" w:type="dxa"/>
            <w:gridSpan w:val="4"/>
          </w:tcPr>
          <w:p w14:paraId="368E480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ingresos gravables</w:t>
            </w:r>
          </w:p>
        </w:tc>
        <w:tc>
          <w:tcPr>
            <w:tcW w:w="2828" w:type="dxa"/>
          </w:tcPr>
          <w:p w14:paraId="0B6E9E8C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46E0D9A3" w14:textId="77777777" w:rsidTr="009F612C">
        <w:tc>
          <w:tcPr>
            <w:tcW w:w="9918" w:type="dxa"/>
            <w:gridSpan w:val="5"/>
            <w:vAlign w:val="center"/>
            <w:hideMark/>
          </w:tcPr>
          <w:p w14:paraId="7E2E077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Discriminación de ingresos gravados y actividades desarrolladas en Itagüí</w:t>
            </w:r>
          </w:p>
        </w:tc>
      </w:tr>
      <w:tr w:rsidR="004B016F" w:rsidRPr="004B016F" w14:paraId="55084D37" w14:textId="77777777" w:rsidTr="009F612C">
        <w:tc>
          <w:tcPr>
            <w:tcW w:w="2127" w:type="dxa"/>
            <w:hideMark/>
          </w:tcPr>
          <w:p w14:paraId="3B0A1CA7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Actividades gravadas</w:t>
            </w:r>
          </w:p>
        </w:tc>
        <w:tc>
          <w:tcPr>
            <w:tcW w:w="1135" w:type="dxa"/>
            <w:hideMark/>
          </w:tcPr>
          <w:p w14:paraId="0DFA15BA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Código</w:t>
            </w:r>
          </w:p>
        </w:tc>
        <w:tc>
          <w:tcPr>
            <w:tcW w:w="1418" w:type="dxa"/>
            <w:hideMark/>
          </w:tcPr>
          <w:p w14:paraId="4E2038F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Ingresos gravados</w:t>
            </w:r>
          </w:p>
        </w:tc>
        <w:tc>
          <w:tcPr>
            <w:tcW w:w="2410" w:type="dxa"/>
            <w:hideMark/>
          </w:tcPr>
          <w:p w14:paraId="4537397F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Tarifa</w:t>
            </w:r>
          </w:p>
        </w:tc>
        <w:tc>
          <w:tcPr>
            <w:tcW w:w="2828" w:type="dxa"/>
            <w:hideMark/>
          </w:tcPr>
          <w:p w14:paraId="72A5931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Impuesto de Industria y Comercio</w:t>
            </w:r>
          </w:p>
        </w:tc>
      </w:tr>
      <w:tr w:rsidR="004B016F" w:rsidRPr="004B016F" w14:paraId="2200859E" w14:textId="77777777" w:rsidTr="009F612C">
        <w:tc>
          <w:tcPr>
            <w:tcW w:w="2127" w:type="dxa"/>
            <w:hideMark/>
          </w:tcPr>
          <w:p w14:paraId="3A87270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14:paraId="6DEFF3A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14:paraId="29643B65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14:paraId="05475BC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28" w:type="dxa"/>
            <w:hideMark/>
          </w:tcPr>
          <w:p w14:paraId="1D996D3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60C6835B" w14:textId="77777777" w:rsidTr="009F612C">
        <w:tc>
          <w:tcPr>
            <w:tcW w:w="2127" w:type="dxa"/>
          </w:tcPr>
          <w:p w14:paraId="0912CAA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30F6253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DFF7F8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DCD6816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28" w:type="dxa"/>
          </w:tcPr>
          <w:p w14:paraId="4C1F1DC9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0404F7CF" w14:textId="77777777" w:rsidTr="009F612C">
        <w:tc>
          <w:tcPr>
            <w:tcW w:w="3262" w:type="dxa"/>
            <w:gridSpan w:val="2"/>
          </w:tcPr>
          <w:p w14:paraId="3AAA2402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Total ingresos gravados en Itagüí</w:t>
            </w:r>
          </w:p>
        </w:tc>
        <w:tc>
          <w:tcPr>
            <w:tcW w:w="1418" w:type="dxa"/>
          </w:tcPr>
          <w:p w14:paraId="2C34346C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9CBE8F3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Total impuesto </w:t>
            </w:r>
          </w:p>
        </w:tc>
        <w:tc>
          <w:tcPr>
            <w:tcW w:w="2828" w:type="dxa"/>
          </w:tcPr>
          <w:p w14:paraId="4EB4AAB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13853AEB" w14:textId="77777777" w:rsidTr="009F612C">
        <w:trPr>
          <w:trHeight w:val="345"/>
        </w:trPr>
        <w:tc>
          <w:tcPr>
            <w:tcW w:w="9918" w:type="dxa"/>
            <w:gridSpan w:val="5"/>
            <w:vAlign w:val="center"/>
          </w:tcPr>
          <w:p w14:paraId="4DA379D2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Liquidación del Impuesto</w:t>
            </w:r>
          </w:p>
        </w:tc>
      </w:tr>
      <w:tr w:rsidR="004B016F" w:rsidRPr="004B016F" w14:paraId="69F55657" w14:textId="77777777" w:rsidTr="009F612C">
        <w:tc>
          <w:tcPr>
            <w:tcW w:w="7090" w:type="dxa"/>
            <w:gridSpan w:val="4"/>
            <w:hideMark/>
          </w:tcPr>
          <w:p w14:paraId="793203B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impuesto de industria y comercio</w:t>
            </w:r>
          </w:p>
        </w:tc>
        <w:tc>
          <w:tcPr>
            <w:tcW w:w="2828" w:type="dxa"/>
            <w:hideMark/>
          </w:tcPr>
          <w:p w14:paraId="0EC6569C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462911B2" w14:textId="77777777" w:rsidTr="009F612C">
        <w:tc>
          <w:tcPr>
            <w:tcW w:w="7090" w:type="dxa"/>
            <w:gridSpan w:val="4"/>
          </w:tcPr>
          <w:p w14:paraId="03FE463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Impuesto de avisos y tableros (15% del Impuesto de Industria y Comercio)</w:t>
            </w:r>
          </w:p>
        </w:tc>
        <w:tc>
          <w:tcPr>
            <w:tcW w:w="2828" w:type="dxa"/>
          </w:tcPr>
          <w:p w14:paraId="4CD94496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39CEF69B" w14:textId="77777777" w:rsidTr="009F612C">
        <w:tc>
          <w:tcPr>
            <w:tcW w:w="7090" w:type="dxa"/>
            <w:gridSpan w:val="4"/>
          </w:tcPr>
          <w:p w14:paraId="3098C663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Sobretasa bomberil</w:t>
            </w:r>
          </w:p>
        </w:tc>
        <w:tc>
          <w:tcPr>
            <w:tcW w:w="2828" w:type="dxa"/>
          </w:tcPr>
          <w:p w14:paraId="6FFF8CF1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742B25BE" w14:textId="77777777" w:rsidTr="009F612C">
        <w:tc>
          <w:tcPr>
            <w:tcW w:w="7090" w:type="dxa"/>
            <w:gridSpan w:val="4"/>
          </w:tcPr>
          <w:p w14:paraId="53D7784A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impuesto a cargo</w:t>
            </w:r>
          </w:p>
        </w:tc>
        <w:tc>
          <w:tcPr>
            <w:tcW w:w="2828" w:type="dxa"/>
          </w:tcPr>
          <w:p w14:paraId="0C2EA2E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203FB842" w14:textId="77777777" w:rsidTr="009F612C">
        <w:tc>
          <w:tcPr>
            <w:tcW w:w="7090" w:type="dxa"/>
            <w:gridSpan w:val="4"/>
          </w:tcPr>
          <w:p w14:paraId="3653D6F8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Retenciones </w:t>
            </w:r>
          </w:p>
        </w:tc>
        <w:tc>
          <w:tcPr>
            <w:tcW w:w="2828" w:type="dxa"/>
          </w:tcPr>
          <w:p w14:paraId="496AC621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1512E87C" w14:textId="77777777" w:rsidTr="009F612C">
        <w:tc>
          <w:tcPr>
            <w:tcW w:w="7090" w:type="dxa"/>
            <w:gridSpan w:val="4"/>
          </w:tcPr>
          <w:p w14:paraId="478C6E67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</w:t>
            </w:r>
            <w:proofErr w:type="spellStart"/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Autoretenciones</w:t>
            </w:r>
            <w:proofErr w:type="spellEnd"/>
          </w:p>
        </w:tc>
        <w:tc>
          <w:tcPr>
            <w:tcW w:w="2828" w:type="dxa"/>
          </w:tcPr>
          <w:p w14:paraId="7174489F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69BF1498" w14:textId="77777777" w:rsidTr="009F612C">
        <w:tc>
          <w:tcPr>
            <w:tcW w:w="7090" w:type="dxa"/>
            <w:gridSpan w:val="4"/>
          </w:tcPr>
          <w:p w14:paraId="116DA61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Sanción por no declarar</w:t>
            </w:r>
          </w:p>
        </w:tc>
        <w:tc>
          <w:tcPr>
            <w:tcW w:w="2828" w:type="dxa"/>
          </w:tcPr>
          <w:p w14:paraId="368A111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2A0C6E1E" w14:textId="77777777" w:rsidTr="009F612C">
        <w:tc>
          <w:tcPr>
            <w:tcW w:w="7090" w:type="dxa"/>
            <w:gridSpan w:val="4"/>
            <w:hideMark/>
          </w:tcPr>
          <w:p w14:paraId="6285F89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ANUAL A PAGAR POR INDUSTRIA Y COMERCIO Y AVISOS Y TABLEROS</w:t>
            </w:r>
          </w:p>
        </w:tc>
        <w:tc>
          <w:tcPr>
            <w:tcW w:w="2828" w:type="dxa"/>
            <w:hideMark/>
          </w:tcPr>
          <w:p w14:paraId="489F805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</w:tbl>
    <w:p w14:paraId="5AEE702B" w14:textId="77777777" w:rsidR="00506BB3" w:rsidRDefault="00506BB3" w:rsidP="00506BB3">
      <w:pPr>
        <w:widowControl w:val="0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5"/>
        <w:gridCol w:w="2268"/>
      </w:tblGrid>
      <w:tr w:rsidR="00506BB3" w14:paraId="4F9E07B5" w14:textId="77777777" w:rsidTr="009F612C">
        <w:trPr>
          <w:trHeight w:val="300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2128B" w14:textId="6FC76374" w:rsidR="00506BB3" w:rsidRDefault="00506BB3" w:rsidP="00506B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Liquidación de Retención en la fuente del Impuesto de Industria y Comercio bimestre</w:t>
            </w:r>
            <w:r>
              <w:rPr>
                <w:rFonts w:ascii="Arial" w:hAnsi="Arial" w:cs="Arial"/>
                <w:b/>
                <w:sz w:val="22"/>
                <w:szCs w:val="22"/>
              </w:rPr>
              <w:t>(insertar)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– Año </w:t>
            </w:r>
            <w:r>
              <w:rPr>
                <w:rFonts w:ascii="Arial" w:hAnsi="Arial" w:cs="Arial"/>
                <w:b/>
                <w:sz w:val="22"/>
                <w:szCs w:val="22"/>
              </w:rPr>
              <w:t>(insertar)</w:t>
            </w:r>
          </w:p>
        </w:tc>
      </w:tr>
      <w:tr w:rsidR="00506BB3" w14:paraId="1AB231B0" w14:textId="77777777" w:rsidTr="009F612C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A80D8" w14:textId="77777777" w:rsidR="00506BB3" w:rsidRDefault="00506BB3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Retenciones practicadas por actividad industrial, actividad comercial,  actividad de servicios, actividad financiera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DD35B" w14:textId="77777777" w:rsidR="00506BB3" w:rsidRDefault="0050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  <w:tr w:rsidR="00506BB3" w14:paraId="451F4467" w14:textId="77777777" w:rsidTr="009F612C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8E86E" w14:textId="77777777" w:rsidR="00506BB3" w:rsidRDefault="00506BB3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Autorretenciones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9A657" w14:textId="77777777" w:rsidR="00506BB3" w:rsidRDefault="00506BB3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506BB3" w14:paraId="69CB8620" w14:textId="77777777" w:rsidTr="009F612C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FF35D" w14:textId="77777777" w:rsidR="00506BB3" w:rsidRDefault="0050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(=)TOTAL RETENCIONES DEL PERIODO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82FB8" w14:textId="77777777" w:rsidR="00506BB3" w:rsidRDefault="0050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  <w:tr w:rsidR="00506BB3" w14:paraId="721A3C5F" w14:textId="77777777" w:rsidTr="009F612C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1D7C" w14:textId="36225A17" w:rsidR="00506BB3" w:rsidRDefault="0050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Sanción por no declarar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290A" w14:textId="29FBDFB5" w:rsidR="00506BB3" w:rsidRDefault="00506BB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  <w:tr w:rsidR="00506BB3" w14:paraId="4E9517AB" w14:textId="77777777" w:rsidTr="009F612C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5FF0" w14:textId="5BB781D0" w:rsidR="00506BB3" w:rsidRDefault="0050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(=) TOTAL RETENCIONES Y SANCIÓN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B6CAE" w14:textId="3EC1DFBF" w:rsidR="00506BB3" w:rsidRDefault="00506BB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</w:tbl>
    <w:p w14:paraId="3FE56320" w14:textId="77777777" w:rsidR="00506BB3" w:rsidRDefault="00506BB3" w:rsidP="00506BB3">
      <w:pPr>
        <w:jc w:val="both"/>
        <w:rPr>
          <w:rFonts w:ascii="Arial" w:hAnsi="Arial" w:cs="Arial"/>
          <w:sz w:val="22"/>
          <w:szCs w:val="22"/>
        </w:rPr>
      </w:pPr>
    </w:p>
    <w:p w14:paraId="4228EC41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A1DE903" w14:textId="77777777" w:rsidR="00B71650" w:rsidRDefault="004B016F" w:rsidP="00B71650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 xml:space="preserve">ARTÍCULO SEGUNDO. </w:t>
      </w:r>
      <w:r w:rsidRPr="004B016F">
        <w:rPr>
          <w:rFonts w:ascii="Arial" w:hAnsi="Arial" w:cs="Arial"/>
          <w:sz w:val="22"/>
          <w:szCs w:val="22"/>
        </w:rPr>
        <w:t xml:space="preserve">Informar al </w:t>
      </w:r>
      <w:r w:rsidR="000630BD" w:rsidRPr="000630BD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0630BD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>(INSERTAR) identificado con NIT. (</w:t>
      </w:r>
      <w:proofErr w:type="gramStart"/>
      <w:r w:rsidRPr="004B016F">
        <w:rPr>
          <w:rFonts w:ascii="Arial" w:hAnsi="Arial" w:cs="Arial"/>
          <w:sz w:val="22"/>
          <w:szCs w:val="22"/>
        </w:rPr>
        <w:t>insertar</w:t>
      </w:r>
      <w:proofErr w:type="gramEnd"/>
      <w:r w:rsidRPr="004B016F">
        <w:rPr>
          <w:rFonts w:ascii="Arial" w:hAnsi="Arial" w:cs="Arial"/>
          <w:sz w:val="22"/>
          <w:szCs w:val="22"/>
        </w:rPr>
        <w:t>)</w:t>
      </w:r>
      <w:r w:rsidR="0044239D">
        <w:rPr>
          <w:rFonts w:ascii="Arial" w:hAnsi="Arial" w:cs="Arial"/>
          <w:sz w:val="22"/>
          <w:szCs w:val="22"/>
        </w:rPr>
        <w:t>,</w:t>
      </w:r>
      <w:r w:rsidRPr="004B016F">
        <w:rPr>
          <w:rFonts w:ascii="Arial" w:hAnsi="Arial" w:cs="Arial"/>
          <w:sz w:val="22"/>
          <w:szCs w:val="22"/>
        </w:rPr>
        <w:t xml:space="preserve"> que dentro de</w:t>
      </w:r>
      <w:r w:rsidR="0044239D">
        <w:rPr>
          <w:rFonts w:ascii="Arial" w:hAnsi="Arial" w:cs="Arial"/>
          <w:sz w:val="22"/>
          <w:szCs w:val="22"/>
        </w:rPr>
        <w:t>l mes siguiente</w:t>
      </w:r>
      <w:r w:rsidRPr="004B016F">
        <w:rPr>
          <w:rFonts w:ascii="Arial" w:hAnsi="Arial" w:cs="Arial"/>
          <w:sz w:val="22"/>
          <w:szCs w:val="22"/>
        </w:rPr>
        <w:t xml:space="preserve"> contado a partir de la notificación de la presente liquidación provisional, podrá aceptar, rechazar o solicitar </w:t>
      </w:r>
      <w:r w:rsidR="0044239D">
        <w:rPr>
          <w:rFonts w:ascii="Arial" w:hAnsi="Arial" w:cs="Arial"/>
          <w:sz w:val="22"/>
          <w:szCs w:val="22"/>
        </w:rPr>
        <w:t xml:space="preserve">la </w:t>
      </w:r>
      <w:r w:rsidRPr="004B016F">
        <w:rPr>
          <w:rFonts w:ascii="Arial" w:hAnsi="Arial" w:cs="Arial"/>
          <w:sz w:val="22"/>
          <w:szCs w:val="22"/>
        </w:rPr>
        <w:t>modificación de</w:t>
      </w:r>
      <w:r w:rsidR="0044239D">
        <w:rPr>
          <w:rFonts w:ascii="Arial" w:hAnsi="Arial" w:cs="Arial"/>
          <w:sz w:val="22"/>
          <w:szCs w:val="22"/>
        </w:rPr>
        <w:t>l acto</w:t>
      </w:r>
      <w:r w:rsidRPr="004B016F">
        <w:rPr>
          <w:rFonts w:ascii="Arial" w:hAnsi="Arial" w:cs="Arial"/>
          <w:sz w:val="22"/>
          <w:szCs w:val="22"/>
        </w:rPr>
        <w:t xml:space="preserve">. </w:t>
      </w:r>
      <w:r w:rsidR="00A93A97">
        <w:rPr>
          <w:rFonts w:ascii="Arial" w:hAnsi="Arial" w:cs="Arial"/>
          <w:sz w:val="22"/>
          <w:szCs w:val="22"/>
        </w:rPr>
        <w:t xml:space="preserve">La respuesta deberá </w:t>
      </w:r>
      <w:r w:rsidR="00A93A97">
        <w:rPr>
          <w:rFonts w:ascii="Arial" w:eastAsia="PMingLiU" w:hAnsi="Arial" w:cs="Arial"/>
          <w:sz w:val="22"/>
          <w:szCs w:val="22"/>
          <w:lang w:eastAsia="es-MX"/>
        </w:rPr>
        <w:t xml:space="preserve"> presentarse de forma virtual por la página web de la alcaldía del Municipio de Itagüí </w:t>
      </w:r>
      <w:hyperlink w:history="1">
        <w:r w:rsidR="00A93A97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www.itagui.gov.co</w:t>
        </w:r>
      </w:hyperlink>
      <w:r w:rsidR="00A93A97">
        <w:rPr>
          <w:rFonts w:ascii="Arial" w:eastAsia="PMingLiU" w:hAnsi="Arial" w:cs="Arial"/>
          <w:sz w:val="22"/>
          <w:szCs w:val="22"/>
          <w:lang w:eastAsia="es-MX"/>
        </w:rPr>
        <w:t xml:space="preserve"> en el botón de RADICACIÓN WEB link </w:t>
      </w:r>
      <w:hyperlink w:history="1">
        <w:r w:rsidR="00A93A97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https://aplicaciones.itagui.gov.co/sisged/radicacionweb/sisgedweb</w:t>
        </w:r>
      </w:hyperlink>
      <w:r w:rsidR="00A93A97">
        <w:rPr>
          <w:rFonts w:ascii="Arial" w:eastAsia="PMingLiU" w:hAnsi="Arial" w:cs="Arial"/>
          <w:sz w:val="22"/>
          <w:szCs w:val="22"/>
          <w:lang w:eastAsia="es-MX"/>
        </w:rPr>
        <w:t xml:space="preserve">, o de forma presencial en la Unidad de Correspondencia ubicada en el primer piso del Centro Administrativo Municipal de Itagüí (CAMI) Carrera 51 No. 51 – 55, teléfono </w:t>
      </w:r>
      <w:r w:rsidR="00582C4C">
        <w:rPr>
          <w:rFonts w:ascii="Arial" w:eastAsia="PMingLiU" w:hAnsi="Arial" w:cs="Arial"/>
          <w:sz w:val="22"/>
          <w:szCs w:val="22"/>
          <w:lang w:eastAsia="es-MX"/>
        </w:rPr>
        <w:t>604</w:t>
      </w:r>
      <w:r w:rsidR="00A93A97">
        <w:rPr>
          <w:rFonts w:ascii="Arial" w:eastAsia="PMingLiU" w:hAnsi="Arial" w:cs="Arial"/>
          <w:sz w:val="22"/>
          <w:szCs w:val="22"/>
          <w:lang w:eastAsia="es-MX"/>
        </w:rPr>
        <w:t>3737676</w:t>
      </w:r>
      <w:r w:rsidR="00582C4C">
        <w:rPr>
          <w:rFonts w:ascii="Arial" w:eastAsia="PMingLiU" w:hAnsi="Arial" w:cs="Arial"/>
          <w:sz w:val="22"/>
          <w:szCs w:val="22"/>
          <w:lang w:eastAsia="es-MX"/>
        </w:rPr>
        <w:t xml:space="preserve">. </w:t>
      </w:r>
      <w:r w:rsidR="00B71650">
        <w:rPr>
          <w:rFonts w:ascii="Arial" w:hAnsi="Arial" w:cs="Arial"/>
          <w:sz w:val="22"/>
          <w:szCs w:val="22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7880EF27" w14:textId="77777777" w:rsidR="00B71650" w:rsidRDefault="00B71650" w:rsidP="00B71650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5F57F07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16E591" w14:textId="3E3E08EC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 xml:space="preserve">ARTÍCULO TERCERO. </w:t>
      </w:r>
      <w:r w:rsidRPr="004B016F">
        <w:rPr>
          <w:rFonts w:ascii="Arial" w:hAnsi="Arial" w:cs="Arial"/>
          <w:sz w:val="22"/>
          <w:szCs w:val="22"/>
        </w:rPr>
        <w:t xml:space="preserve">Advertir al </w:t>
      </w:r>
      <w:r w:rsidR="00CC40D2" w:rsidRPr="00CC40D2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CC40D2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 xml:space="preserve">que, de no pronunciarse dentro del término anteriormente previsto, la Administración Tributaria </w:t>
      </w:r>
      <w:r w:rsidR="00A3113A">
        <w:rPr>
          <w:rFonts w:ascii="Arial" w:hAnsi="Arial" w:cs="Arial"/>
          <w:sz w:val="22"/>
          <w:szCs w:val="22"/>
        </w:rPr>
        <w:t xml:space="preserve">iniciará </w:t>
      </w:r>
      <w:r w:rsidRPr="004B016F">
        <w:rPr>
          <w:rFonts w:ascii="Arial" w:hAnsi="Arial" w:cs="Arial"/>
          <w:sz w:val="22"/>
          <w:szCs w:val="22"/>
        </w:rPr>
        <w:t>el procedimiento administrativo de cobro tomando como título ejecutivo la liquidación provisional proyectada por la administración.</w:t>
      </w:r>
    </w:p>
    <w:p w14:paraId="2771C418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929E22" w14:textId="355D345A" w:rsidR="00E428E5" w:rsidRPr="00CE5B63" w:rsidRDefault="004B016F" w:rsidP="00E428E5">
      <w:pPr>
        <w:widowControl w:val="0"/>
        <w:jc w:val="both"/>
        <w:rPr>
          <w:rFonts w:ascii="Arial" w:hAnsi="Arial" w:cs="Arial"/>
          <w:b/>
        </w:rPr>
      </w:pPr>
      <w:r w:rsidRPr="004B016F">
        <w:rPr>
          <w:rFonts w:ascii="Arial" w:eastAsia="Calibri" w:hAnsi="Arial" w:cs="Arial"/>
          <w:b/>
          <w:sz w:val="22"/>
          <w:szCs w:val="22"/>
          <w:lang w:eastAsia="en-US"/>
        </w:rPr>
        <w:t xml:space="preserve">ARTÍCULO CUARTO.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Notificar </w:t>
      </w:r>
      <w:r w:rsidR="00BA7B5E">
        <w:rPr>
          <w:rFonts w:ascii="Arial" w:eastAsia="Calibri" w:hAnsi="Arial" w:cs="Arial"/>
          <w:sz w:val="22"/>
          <w:szCs w:val="22"/>
          <w:lang w:eastAsia="en-US"/>
        </w:rPr>
        <w:t>el</w:t>
      </w:r>
      <w:r w:rsidR="00560821">
        <w:rPr>
          <w:rFonts w:ascii="Arial" w:eastAsia="Calibri" w:hAnsi="Arial" w:cs="Arial"/>
          <w:sz w:val="22"/>
          <w:szCs w:val="22"/>
          <w:lang w:eastAsia="en-US"/>
        </w:rPr>
        <w:t xml:space="preserve"> presente </w:t>
      </w:r>
      <w:r w:rsidR="00BA7B5E">
        <w:rPr>
          <w:rFonts w:ascii="Arial" w:eastAsia="Calibri" w:hAnsi="Arial" w:cs="Arial"/>
          <w:sz w:val="22"/>
          <w:szCs w:val="22"/>
          <w:lang w:eastAsia="en-US"/>
        </w:rPr>
        <w:t xml:space="preserve">auto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 w:rsidR="000630BD" w:rsidRPr="000630BD">
        <w:rPr>
          <w:rFonts w:ascii="Arial" w:hAnsi="Arial" w:cs="Arial"/>
          <w:color w:val="FF0000"/>
          <w:sz w:val="22"/>
          <w:szCs w:val="22"/>
        </w:rPr>
        <w:t>contribuyente/agente reten</w:t>
      </w:r>
      <w:r w:rsidR="000630BD">
        <w:rPr>
          <w:rFonts w:ascii="Arial" w:hAnsi="Arial" w:cs="Arial"/>
          <w:sz w:val="22"/>
          <w:szCs w:val="22"/>
        </w:rPr>
        <w:t>edor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>(insertar) identificado con (insertar)</w:t>
      </w:r>
      <w:r w:rsidRPr="004B016F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de conformidad </w:t>
      </w:r>
      <w:r w:rsidR="00E428E5">
        <w:rPr>
          <w:rFonts w:ascii="Arial" w:eastAsia="Calibri" w:hAnsi="Arial" w:cs="Arial"/>
          <w:sz w:val="22"/>
          <w:szCs w:val="22"/>
          <w:lang w:eastAsia="en-US"/>
        </w:rPr>
        <w:t xml:space="preserve"> con los </w:t>
      </w:r>
      <w:r w:rsidR="00E428E5">
        <w:rPr>
          <w:rFonts w:ascii="Arial" w:hAnsi="Arial" w:cs="Arial"/>
          <w:sz w:val="23"/>
          <w:szCs w:val="23"/>
        </w:rPr>
        <w:t>Artículos 28</w:t>
      </w:r>
      <w:r w:rsidR="00A3113A">
        <w:rPr>
          <w:rFonts w:ascii="Arial" w:hAnsi="Arial" w:cs="Arial"/>
          <w:sz w:val="23"/>
          <w:szCs w:val="23"/>
        </w:rPr>
        <w:t xml:space="preserve">2 a 292 </w:t>
      </w:r>
      <w:r w:rsidR="00E428E5">
        <w:rPr>
          <w:rFonts w:ascii="Arial" w:hAnsi="Arial" w:cs="Arial"/>
          <w:sz w:val="23"/>
          <w:szCs w:val="23"/>
        </w:rPr>
        <w:t>del Estatuto Tributario Municipal.</w:t>
      </w:r>
    </w:p>
    <w:p w14:paraId="32C93FEA" w14:textId="77777777" w:rsidR="00E428E5" w:rsidRPr="004B016F" w:rsidRDefault="00E428E5" w:rsidP="00E428E5">
      <w:pPr>
        <w:widowControl w:val="0"/>
        <w:jc w:val="both"/>
        <w:rPr>
          <w:rFonts w:ascii="Arial" w:eastAsia="Calibri" w:hAnsi="Arial" w:cs="Arial"/>
          <w:b/>
          <w:sz w:val="22"/>
          <w:szCs w:val="22"/>
          <w:lang w:val="es-CO" w:eastAsia="es-CO"/>
        </w:rPr>
      </w:pPr>
    </w:p>
    <w:p w14:paraId="0F3D3998" w14:textId="77777777" w:rsidR="004B016F" w:rsidRPr="004B016F" w:rsidRDefault="004B016F" w:rsidP="004B016F">
      <w:pPr>
        <w:jc w:val="both"/>
        <w:rPr>
          <w:rFonts w:ascii="Arial" w:hAnsi="Arial" w:cs="Arial"/>
          <w:b/>
          <w:sz w:val="22"/>
          <w:szCs w:val="22"/>
        </w:rPr>
      </w:pPr>
    </w:p>
    <w:p w14:paraId="1B376DB7" w14:textId="77777777" w:rsidR="0069013C" w:rsidRPr="004B016F" w:rsidRDefault="0069013C" w:rsidP="0069013C">
      <w:pPr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878D4D5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NOTIFÍQUESE Y CÚMPLASE</w:t>
      </w:r>
    </w:p>
    <w:p w14:paraId="0E89B092" w14:textId="77777777" w:rsidR="004320F5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92E5EE8" w14:textId="77777777" w:rsidR="004B016F" w:rsidRPr="004B016F" w:rsidRDefault="004B016F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3478590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9DBCBD0" w14:textId="77777777" w:rsidR="004320F5" w:rsidRPr="004B016F" w:rsidRDefault="004320F5" w:rsidP="004320F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B016F">
        <w:rPr>
          <w:rFonts w:ascii="Arial" w:hAnsi="Arial" w:cs="Arial"/>
          <w:b/>
          <w:i/>
          <w:sz w:val="22"/>
          <w:szCs w:val="22"/>
        </w:rPr>
        <w:t xml:space="preserve"> (INSERTAR)</w:t>
      </w:r>
    </w:p>
    <w:p w14:paraId="0026D6FD" w14:textId="1BE59E64" w:rsidR="004320F5" w:rsidRPr="0056122B" w:rsidRDefault="00A60BCD" w:rsidP="004320F5">
      <w:pPr>
        <w:jc w:val="center"/>
        <w:rPr>
          <w:rFonts w:ascii="Arial" w:hAnsi="Arial" w:cs="Arial"/>
          <w:b/>
          <w:sz w:val="22"/>
          <w:szCs w:val="22"/>
        </w:rPr>
      </w:pPr>
      <w:r w:rsidRPr="0056122B">
        <w:rPr>
          <w:rFonts w:ascii="Arial" w:hAnsi="Arial" w:cs="Arial"/>
          <w:b/>
          <w:sz w:val="22"/>
          <w:szCs w:val="22"/>
        </w:rPr>
        <w:t>Jefe</w:t>
      </w:r>
      <w:r w:rsidR="00E65989" w:rsidRPr="0056122B">
        <w:rPr>
          <w:rFonts w:ascii="Arial" w:hAnsi="Arial" w:cs="Arial"/>
          <w:b/>
          <w:sz w:val="22"/>
          <w:szCs w:val="22"/>
        </w:rPr>
        <w:t xml:space="preserve"> </w:t>
      </w:r>
      <w:r w:rsidR="004320F5" w:rsidRPr="0056122B">
        <w:rPr>
          <w:rFonts w:ascii="Arial" w:hAnsi="Arial" w:cs="Arial"/>
          <w:b/>
          <w:sz w:val="22"/>
          <w:szCs w:val="22"/>
        </w:rPr>
        <w:t>Oficina de Fiscalización, Control y Cobro Persuasivo</w:t>
      </w:r>
    </w:p>
    <w:p w14:paraId="6D125517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73574180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7578B42C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32A4F2BF" w14:textId="77777777" w:rsidR="004320F5" w:rsidRPr="004B016F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4B016F">
        <w:rPr>
          <w:rFonts w:ascii="Arial" w:hAnsi="Arial" w:cs="Arial"/>
          <w:b/>
          <w:sz w:val="18"/>
          <w:szCs w:val="18"/>
        </w:rPr>
        <w:t>Fiscalizador:</w:t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7D015F7A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4B016F">
        <w:rPr>
          <w:rFonts w:ascii="Arial" w:hAnsi="Arial" w:cs="Arial"/>
          <w:sz w:val="18"/>
          <w:szCs w:val="18"/>
        </w:rPr>
        <w:tab/>
      </w:r>
      <w:r w:rsidRPr="004B016F">
        <w:rPr>
          <w:rFonts w:ascii="Arial" w:hAnsi="Arial" w:cs="Arial"/>
          <w:sz w:val="18"/>
          <w:szCs w:val="18"/>
        </w:rPr>
        <w:tab/>
        <w:t xml:space="preserve">      </w:t>
      </w:r>
      <w:r w:rsidRPr="004B016F">
        <w:rPr>
          <w:rFonts w:ascii="Arial" w:hAnsi="Arial" w:cs="Arial"/>
          <w:sz w:val="18"/>
          <w:szCs w:val="18"/>
        </w:rPr>
        <w:tab/>
      </w:r>
    </w:p>
    <w:p w14:paraId="38B8C036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22B298E2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</w:p>
    <w:p w14:paraId="389FD198" w14:textId="77777777" w:rsidR="004320F5" w:rsidRPr="0056122B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56122B">
        <w:rPr>
          <w:rFonts w:ascii="Arial" w:hAnsi="Arial" w:cs="Arial"/>
          <w:b/>
          <w:sz w:val="18"/>
          <w:szCs w:val="18"/>
        </w:rPr>
        <w:t xml:space="preserve">Proyectó: </w:t>
      </w:r>
    </w:p>
    <w:p w14:paraId="469C7102" w14:textId="39FD7AB9" w:rsidR="0069013C" w:rsidRPr="00A60BCD" w:rsidRDefault="004320F5" w:rsidP="00B42B28">
      <w:pPr>
        <w:ind w:right="618"/>
        <w:rPr>
          <w:rFonts w:ascii="Arial" w:hAnsi="Arial" w:cs="Arial"/>
          <w:sz w:val="22"/>
          <w:szCs w:val="22"/>
        </w:rPr>
      </w:pPr>
      <w:r w:rsidRPr="0056122B">
        <w:rPr>
          <w:rFonts w:ascii="Arial" w:hAnsi="Arial" w:cs="Arial"/>
          <w:b/>
          <w:sz w:val="18"/>
          <w:szCs w:val="18"/>
        </w:rPr>
        <w:t xml:space="preserve">Revisó: </w:t>
      </w:r>
    </w:p>
    <w:sectPr w:rsidR="0069013C" w:rsidRPr="00A60BCD" w:rsidSect="0018104D">
      <w:headerReference w:type="default" r:id="rId8"/>
      <w:footerReference w:type="default" r:id="rId9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BE3D1" w14:textId="77777777" w:rsidR="00640E61" w:rsidRDefault="00640E61">
      <w:r>
        <w:separator/>
      </w:r>
    </w:p>
  </w:endnote>
  <w:endnote w:type="continuationSeparator" w:id="0">
    <w:p w14:paraId="11FC7053" w14:textId="77777777" w:rsidR="00640E61" w:rsidRDefault="0064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9EA1" w14:textId="77777777" w:rsidR="00A26A96" w:rsidRPr="009F612C" w:rsidRDefault="00A26A96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F612C">
      <w:rPr>
        <w:rFonts w:ascii="Arial" w:hAnsi="Arial" w:cs="Arial"/>
        <w:b/>
        <w:sz w:val="20"/>
        <w:szCs w:val="20"/>
      </w:rPr>
      <w:t xml:space="preserve">Página </w:t>
    </w:r>
    <w:r w:rsidRPr="009F612C">
      <w:rPr>
        <w:rFonts w:ascii="Arial" w:hAnsi="Arial" w:cs="Arial"/>
        <w:b/>
        <w:sz w:val="20"/>
        <w:szCs w:val="20"/>
      </w:rPr>
      <w:fldChar w:fldCharType="begin"/>
    </w:r>
    <w:r w:rsidRPr="009F612C">
      <w:rPr>
        <w:rFonts w:ascii="Arial" w:hAnsi="Arial" w:cs="Arial"/>
        <w:b/>
        <w:sz w:val="20"/>
        <w:szCs w:val="20"/>
      </w:rPr>
      <w:instrText xml:space="preserve"> PAGE </w:instrText>
    </w:r>
    <w:r w:rsidRPr="009F612C">
      <w:rPr>
        <w:rFonts w:ascii="Arial" w:hAnsi="Arial" w:cs="Arial"/>
        <w:b/>
        <w:sz w:val="20"/>
        <w:szCs w:val="20"/>
      </w:rPr>
      <w:fldChar w:fldCharType="separate"/>
    </w:r>
    <w:r w:rsidR="00C2031E">
      <w:rPr>
        <w:rFonts w:ascii="Arial" w:hAnsi="Arial" w:cs="Arial"/>
        <w:b/>
        <w:noProof/>
        <w:sz w:val="20"/>
        <w:szCs w:val="20"/>
      </w:rPr>
      <w:t>4</w:t>
    </w:r>
    <w:r w:rsidRPr="009F612C">
      <w:rPr>
        <w:rFonts w:ascii="Arial" w:hAnsi="Arial" w:cs="Arial"/>
        <w:b/>
        <w:sz w:val="20"/>
        <w:szCs w:val="20"/>
      </w:rPr>
      <w:fldChar w:fldCharType="end"/>
    </w:r>
    <w:r w:rsidRPr="009F612C">
      <w:rPr>
        <w:rFonts w:ascii="Arial" w:hAnsi="Arial" w:cs="Arial"/>
        <w:b/>
        <w:sz w:val="20"/>
        <w:szCs w:val="20"/>
      </w:rPr>
      <w:t xml:space="preserve"> de </w:t>
    </w:r>
    <w:r w:rsidRPr="009F612C">
      <w:rPr>
        <w:rFonts w:ascii="Arial" w:hAnsi="Arial" w:cs="Arial"/>
        <w:b/>
        <w:sz w:val="20"/>
        <w:szCs w:val="20"/>
      </w:rPr>
      <w:fldChar w:fldCharType="begin"/>
    </w:r>
    <w:r w:rsidRPr="009F612C">
      <w:rPr>
        <w:rFonts w:ascii="Arial" w:hAnsi="Arial" w:cs="Arial"/>
        <w:b/>
        <w:sz w:val="20"/>
        <w:szCs w:val="20"/>
      </w:rPr>
      <w:instrText xml:space="preserve"> NUMPAGES </w:instrText>
    </w:r>
    <w:r w:rsidRPr="009F612C">
      <w:rPr>
        <w:rFonts w:ascii="Arial" w:hAnsi="Arial" w:cs="Arial"/>
        <w:b/>
        <w:sz w:val="20"/>
        <w:szCs w:val="20"/>
      </w:rPr>
      <w:fldChar w:fldCharType="separate"/>
    </w:r>
    <w:r w:rsidR="00C2031E">
      <w:rPr>
        <w:rFonts w:ascii="Arial" w:hAnsi="Arial" w:cs="Arial"/>
        <w:b/>
        <w:noProof/>
        <w:sz w:val="20"/>
        <w:szCs w:val="20"/>
      </w:rPr>
      <w:t>4</w:t>
    </w:r>
    <w:r w:rsidRPr="009F612C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9C0EC" w14:textId="77777777" w:rsidR="00640E61" w:rsidRDefault="00640E61">
      <w:r>
        <w:separator/>
      </w:r>
    </w:p>
  </w:footnote>
  <w:footnote w:type="continuationSeparator" w:id="0">
    <w:p w14:paraId="19BB2D7B" w14:textId="77777777" w:rsidR="00640E61" w:rsidRDefault="0064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29"/>
      <w:gridCol w:w="4748"/>
      <w:gridCol w:w="2677"/>
    </w:tblGrid>
    <w:tr w:rsidR="00C2031E" w14:paraId="0C3E6C00" w14:textId="77777777" w:rsidTr="009F612C">
      <w:trPr>
        <w:cantSplit/>
        <w:trHeight w:val="410"/>
      </w:trPr>
      <w:tc>
        <w:tcPr>
          <w:tcW w:w="24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3BD61" w14:textId="30A2BCF0" w:rsidR="00A26A96" w:rsidRDefault="00C2031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6E3718D4" wp14:editId="70BCB353">
                <wp:extent cx="1057275" cy="822325"/>
                <wp:effectExtent l="0" t="0" r="9525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397" cy="831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0280B8" w14:textId="4EE8B485" w:rsidR="009F612C" w:rsidRDefault="004B016F" w:rsidP="009F612C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LIQUIDACIÓN PROVISIONAL</w:t>
          </w:r>
        </w:p>
        <w:p w14:paraId="29B50B1B" w14:textId="13CE5A82" w:rsidR="004B016F" w:rsidRDefault="004B016F" w:rsidP="009F612C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PROCESO  DE OMISOS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7CE9F" w14:textId="0DF4C059" w:rsidR="00A26A96" w:rsidRPr="009F612C" w:rsidRDefault="00A26A96" w:rsidP="004B016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F612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9F612C">
            <w:rPr>
              <w:rFonts w:ascii="Arial" w:hAnsi="Arial" w:cs="Arial"/>
              <w:b/>
              <w:sz w:val="20"/>
              <w:szCs w:val="20"/>
            </w:rPr>
            <w:t>FO-HM-49</w:t>
          </w:r>
        </w:p>
      </w:tc>
    </w:tr>
    <w:tr w:rsidR="00C2031E" w14:paraId="4EA7B431" w14:textId="77777777" w:rsidTr="009F612C">
      <w:trPr>
        <w:trHeight w:val="416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2055B" w14:textId="19CEF036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473B" w14:textId="77777777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D6DBD" w14:textId="5A430E7F" w:rsidR="00A26A96" w:rsidRPr="009F612C" w:rsidRDefault="00A26A96" w:rsidP="001370C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F612C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9F612C">
            <w:rPr>
              <w:rFonts w:ascii="Arial" w:hAnsi="Arial" w:cs="Arial"/>
              <w:b/>
              <w:sz w:val="20"/>
              <w:szCs w:val="20"/>
            </w:rPr>
            <w:t>0</w:t>
          </w:r>
          <w:r w:rsidR="002324BF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C2031E" w14:paraId="4C716D1E" w14:textId="77777777" w:rsidTr="00D15173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88F0D" w14:textId="77777777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491A1" w14:textId="77777777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3B843" w14:textId="77777777" w:rsidR="00A26A96" w:rsidRPr="009F612C" w:rsidRDefault="00A26A9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F612C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4CA0B5F6" w14:textId="1DE2C1A5" w:rsidR="00A26A96" w:rsidRPr="009F612C" w:rsidRDefault="002324BF" w:rsidP="001370C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CE459C" w:rsidRPr="009F612C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CE459C" w:rsidRPr="009F612C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3673EE11" w14:textId="77777777" w:rsidR="00A26A96" w:rsidRDefault="00A26A96" w:rsidP="002460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60072"/>
    <w:multiLevelType w:val="hybridMultilevel"/>
    <w:tmpl w:val="FE967F2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A91"/>
    <w:multiLevelType w:val="hybridMultilevel"/>
    <w:tmpl w:val="61382AD2"/>
    <w:lvl w:ilvl="0" w:tplc="FDB8370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4D55300"/>
    <w:multiLevelType w:val="hybridMultilevel"/>
    <w:tmpl w:val="74AA2B9C"/>
    <w:lvl w:ilvl="0" w:tplc="66265758">
      <w:start w:val="1"/>
      <w:numFmt w:val="lowerLetter"/>
      <w:lvlText w:val="%1."/>
      <w:lvlJc w:val="left"/>
      <w:pPr>
        <w:ind w:left="4471" w:hanging="360"/>
      </w:pPr>
      <w:rPr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4964"/>
    <w:multiLevelType w:val="hybridMultilevel"/>
    <w:tmpl w:val="9F3AE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14"/>
  </w:num>
  <w:num w:numId="15">
    <w:abstractNumId w:val="4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0354"/>
    <w:rsid w:val="00000731"/>
    <w:rsid w:val="00001FF2"/>
    <w:rsid w:val="00005F0A"/>
    <w:rsid w:val="00006FE9"/>
    <w:rsid w:val="00007265"/>
    <w:rsid w:val="000309B1"/>
    <w:rsid w:val="00034311"/>
    <w:rsid w:val="00042770"/>
    <w:rsid w:val="0005109F"/>
    <w:rsid w:val="00051732"/>
    <w:rsid w:val="000518A0"/>
    <w:rsid w:val="00054BFB"/>
    <w:rsid w:val="00057061"/>
    <w:rsid w:val="00057840"/>
    <w:rsid w:val="000630BD"/>
    <w:rsid w:val="000644E7"/>
    <w:rsid w:val="00071962"/>
    <w:rsid w:val="00072689"/>
    <w:rsid w:val="00074E20"/>
    <w:rsid w:val="0008311A"/>
    <w:rsid w:val="00084CFD"/>
    <w:rsid w:val="000911FD"/>
    <w:rsid w:val="00093016"/>
    <w:rsid w:val="000F3903"/>
    <w:rsid w:val="000F4A5E"/>
    <w:rsid w:val="000F6630"/>
    <w:rsid w:val="000F709B"/>
    <w:rsid w:val="0010640C"/>
    <w:rsid w:val="00122C89"/>
    <w:rsid w:val="001370C7"/>
    <w:rsid w:val="00137A58"/>
    <w:rsid w:val="001529F5"/>
    <w:rsid w:val="00157B2D"/>
    <w:rsid w:val="001622A7"/>
    <w:rsid w:val="001640C1"/>
    <w:rsid w:val="00170249"/>
    <w:rsid w:val="0017179E"/>
    <w:rsid w:val="0018104D"/>
    <w:rsid w:val="00182185"/>
    <w:rsid w:val="00190701"/>
    <w:rsid w:val="0019490F"/>
    <w:rsid w:val="001962E6"/>
    <w:rsid w:val="001B49AE"/>
    <w:rsid w:val="001C5360"/>
    <w:rsid w:val="001D715C"/>
    <w:rsid w:val="001E21DA"/>
    <w:rsid w:val="00205B79"/>
    <w:rsid w:val="002122EB"/>
    <w:rsid w:val="00217B18"/>
    <w:rsid w:val="002324BF"/>
    <w:rsid w:val="002344A6"/>
    <w:rsid w:val="00241E64"/>
    <w:rsid w:val="0024207F"/>
    <w:rsid w:val="002439CE"/>
    <w:rsid w:val="00246072"/>
    <w:rsid w:val="00251D6A"/>
    <w:rsid w:val="00262B76"/>
    <w:rsid w:val="00270614"/>
    <w:rsid w:val="00272DC5"/>
    <w:rsid w:val="00275547"/>
    <w:rsid w:val="002765DB"/>
    <w:rsid w:val="0027691F"/>
    <w:rsid w:val="00283A0A"/>
    <w:rsid w:val="0028758E"/>
    <w:rsid w:val="002959C5"/>
    <w:rsid w:val="00297949"/>
    <w:rsid w:val="002A44E6"/>
    <w:rsid w:val="002B122F"/>
    <w:rsid w:val="002B12A6"/>
    <w:rsid w:val="002C24AC"/>
    <w:rsid w:val="002D2D5F"/>
    <w:rsid w:val="002E0858"/>
    <w:rsid w:val="002E6B6E"/>
    <w:rsid w:val="002F030A"/>
    <w:rsid w:val="002F32BD"/>
    <w:rsid w:val="002F3FA0"/>
    <w:rsid w:val="002F4F58"/>
    <w:rsid w:val="0030097D"/>
    <w:rsid w:val="003078BA"/>
    <w:rsid w:val="003201D5"/>
    <w:rsid w:val="00320E65"/>
    <w:rsid w:val="0032152C"/>
    <w:rsid w:val="00324D7C"/>
    <w:rsid w:val="003259FA"/>
    <w:rsid w:val="00331742"/>
    <w:rsid w:val="00336730"/>
    <w:rsid w:val="003433EA"/>
    <w:rsid w:val="00350DCF"/>
    <w:rsid w:val="003510C2"/>
    <w:rsid w:val="003520B3"/>
    <w:rsid w:val="003527AC"/>
    <w:rsid w:val="0035727F"/>
    <w:rsid w:val="00364D37"/>
    <w:rsid w:val="00365E15"/>
    <w:rsid w:val="00366C8D"/>
    <w:rsid w:val="003724E6"/>
    <w:rsid w:val="0038238F"/>
    <w:rsid w:val="003905E5"/>
    <w:rsid w:val="00392E9D"/>
    <w:rsid w:val="00393B37"/>
    <w:rsid w:val="00396B6B"/>
    <w:rsid w:val="003A1CA9"/>
    <w:rsid w:val="003C6C7C"/>
    <w:rsid w:val="003C7DBF"/>
    <w:rsid w:val="003D778A"/>
    <w:rsid w:val="003E6BDA"/>
    <w:rsid w:val="003E6E53"/>
    <w:rsid w:val="0040585F"/>
    <w:rsid w:val="004226EB"/>
    <w:rsid w:val="00424672"/>
    <w:rsid w:val="004320F5"/>
    <w:rsid w:val="0044239D"/>
    <w:rsid w:val="00446701"/>
    <w:rsid w:val="0045041C"/>
    <w:rsid w:val="004553B9"/>
    <w:rsid w:val="00455632"/>
    <w:rsid w:val="004617EF"/>
    <w:rsid w:val="00466E2A"/>
    <w:rsid w:val="00484672"/>
    <w:rsid w:val="00491C94"/>
    <w:rsid w:val="00493BB4"/>
    <w:rsid w:val="004A1DAE"/>
    <w:rsid w:val="004A6E33"/>
    <w:rsid w:val="004A7F5C"/>
    <w:rsid w:val="004B016F"/>
    <w:rsid w:val="004B06D9"/>
    <w:rsid w:val="004B228D"/>
    <w:rsid w:val="004B4153"/>
    <w:rsid w:val="004B5256"/>
    <w:rsid w:val="004B7C3F"/>
    <w:rsid w:val="004C796A"/>
    <w:rsid w:val="004D59AC"/>
    <w:rsid w:val="004E1FE6"/>
    <w:rsid w:val="004E23C2"/>
    <w:rsid w:val="004E5BA3"/>
    <w:rsid w:val="004E6C80"/>
    <w:rsid w:val="004F06E3"/>
    <w:rsid w:val="004F23FF"/>
    <w:rsid w:val="004F28F2"/>
    <w:rsid w:val="004F3D3C"/>
    <w:rsid w:val="0050533A"/>
    <w:rsid w:val="00506BB3"/>
    <w:rsid w:val="00520330"/>
    <w:rsid w:val="005267D4"/>
    <w:rsid w:val="005340C1"/>
    <w:rsid w:val="00545E89"/>
    <w:rsid w:val="00547F3F"/>
    <w:rsid w:val="005538A3"/>
    <w:rsid w:val="00560821"/>
    <w:rsid w:val="0056122B"/>
    <w:rsid w:val="005622B2"/>
    <w:rsid w:val="005731AF"/>
    <w:rsid w:val="005743AF"/>
    <w:rsid w:val="00577E70"/>
    <w:rsid w:val="0058079D"/>
    <w:rsid w:val="00582C4C"/>
    <w:rsid w:val="00587E63"/>
    <w:rsid w:val="005935A7"/>
    <w:rsid w:val="0059668E"/>
    <w:rsid w:val="005A7400"/>
    <w:rsid w:val="005B0523"/>
    <w:rsid w:val="005B2AE8"/>
    <w:rsid w:val="005B6305"/>
    <w:rsid w:val="005C682D"/>
    <w:rsid w:val="005D281A"/>
    <w:rsid w:val="005D2E48"/>
    <w:rsid w:val="005D4C54"/>
    <w:rsid w:val="005E2BE6"/>
    <w:rsid w:val="005E61F1"/>
    <w:rsid w:val="005F0B1C"/>
    <w:rsid w:val="0060154E"/>
    <w:rsid w:val="006018CC"/>
    <w:rsid w:val="00605779"/>
    <w:rsid w:val="00611617"/>
    <w:rsid w:val="0062330E"/>
    <w:rsid w:val="00623A88"/>
    <w:rsid w:val="00626140"/>
    <w:rsid w:val="0062699B"/>
    <w:rsid w:val="006337B1"/>
    <w:rsid w:val="00640E61"/>
    <w:rsid w:val="00657D22"/>
    <w:rsid w:val="00663A8A"/>
    <w:rsid w:val="00667278"/>
    <w:rsid w:val="00674929"/>
    <w:rsid w:val="0067651C"/>
    <w:rsid w:val="00684840"/>
    <w:rsid w:val="0068548D"/>
    <w:rsid w:val="0069013C"/>
    <w:rsid w:val="006A03E6"/>
    <w:rsid w:val="006A059E"/>
    <w:rsid w:val="006A7B4D"/>
    <w:rsid w:val="006B09A4"/>
    <w:rsid w:val="006B25F2"/>
    <w:rsid w:val="006C035A"/>
    <w:rsid w:val="006C6F31"/>
    <w:rsid w:val="006D05AB"/>
    <w:rsid w:val="006D0F28"/>
    <w:rsid w:val="006D3CC5"/>
    <w:rsid w:val="006E0979"/>
    <w:rsid w:val="006F47C5"/>
    <w:rsid w:val="006F4EDA"/>
    <w:rsid w:val="006F6B5A"/>
    <w:rsid w:val="006F7F77"/>
    <w:rsid w:val="00705038"/>
    <w:rsid w:val="00705BE8"/>
    <w:rsid w:val="00715E02"/>
    <w:rsid w:val="0073438E"/>
    <w:rsid w:val="00736B01"/>
    <w:rsid w:val="007479B5"/>
    <w:rsid w:val="00762C1B"/>
    <w:rsid w:val="00785424"/>
    <w:rsid w:val="00793132"/>
    <w:rsid w:val="007A5A6B"/>
    <w:rsid w:val="007B03D8"/>
    <w:rsid w:val="007C0E5A"/>
    <w:rsid w:val="007C1033"/>
    <w:rsid w:val="007D2962"/>
    <w:rsid w:val="00802BB7"/>
    <w:rsid w:val="00805E6D"/>
    <w:rsid w:val="00830166"/>
    <w:rsid w:val="00846722"/>
    <w:rsid w:val="008558E0"/>
    <w:rsid w:val="008601FD"/>
    <w:rsid w:val="008605A0"/>
    <w:rsid w:val="008632D5"/>
    <w:rsid w:val="00864486"/>
    <w:rsid w:val="00865033"/>
    <w:rsid w:val="0087571B"/>
    <w:rsid w:val="0088307A"/>
    <w:rsid w:val="00891BC7"/>
    <w:rsid w:val="00895F48"/>
    <w:rsid w:val="008A063A"/>
    <w:rsid w:val="008C0ACC"/>
    <w:rsid w:val="008D7C4D"/>
    <w:rsid w:val="008F5292"/>
    <w:rsid w:val="008F7C02"/>
    <w:rsid w:val="00902DF1"/>
    <w:rsid w:val="009066C1"/>
    <w:rsid w:val="00935664"/>
    <w:rsid w:val="00940324"/>
    <w:rsid w:val="00944B28"/>
    <w:rsid w:val="009670D2"/>
    <w:rsid w:val="009A0CF9"/>
    <w:rsid w:val="009B08AF"/>
    <w:rsid w:val="009C442F"/>
    <w:rsid w:val="009C4998"/>
    <w:rsid w:val="009E0173"/>
    <w:rsid w:val="009E3C3D"/>
    <w:rsid w:val="009F612C"/>
    <w:rsid w:val="00A015BB"/>
    <w:rsid w:val="00A01611"/>
    <w:rsid w:val="00A0745E"/>
    <w:rsid w:val="00A1645D"/>
    <w:rsid w:val="00A216DF"/>
    <w:rsid w:val="00A267A4"/>
    <w:rsid w:val="00A26A96"/>
    <w:rsid w:val="00A3113A"/>
    <w:rsid w:val="00A5352B"/>
    <w:rsid w:val="00A60BCD"/>
    <w:rsid w:val="00A634EA"/>
    <w:rsid w:val="00A75ABC"/>
    <w:rsid w:val="00A93A97"/>
    <w:rsid w:val="00A97B20"/>
    <w:rsid w:val="00AA249A"/>
    <w:rsid w:val="00AA3631"/>
    <w:rsid w:val="00AA5AF7"/>
    <w:rsid w:val="00AB50E2"/>
    <w:rsid w:val="00AB5C30"/>
    <w:rsid w:val="00AC498A"/>
    <w:rsid w:val="00AD6A2E"/>
    <w:rsid w:val="00AD6D8F"/>
    <w:rsid w:val="00AE6037"/>
    <w:rsid w:val="00AE68A5"/>
    <w:rsid w:val="00AF4A42"/>
    <w:rsid w:val="00AF7D01"/>
    <w:rsid w:val="00B0298E"/>
    <w:rsid w:val="00B102F4"/>
    <w:rsid w:val="00B1542A"/>
    <w:rsid w:val="00B27429"/>
    <w:rsid w:val="00B32F58"/>
    <w:rsid w:val="00B364F0"/>
    <w:rsid w:val="00B42AA0"/>
    <w:rsid w:val="00B42B28"/>
    <w:rsid w:val="00B43887"/>
    <w:rsid w:val="00B44213"/>
    <w:rsid w:val="00B46AA5"/>
    <w:rsid w:val="00B5606E"/>
    <w:rsid w:val="00B66928"/>
    <w:rsid w:val="00B71650"/>
    <w:rsid w:val="00BA2C3E"/>
    <w:rsid w:val="00BA365C"/>
    <w:rsid w:val="00BA7B5E"/>
    <w:rsid w:val="00BD3538"/>
    <w:rsid w:val="00BE055F"/>
    <w:rsid w:val="00BE22F3"/>
    <w:rsid w:val="00BE67A3"/>
    <w:rsid w:val="00BF0F93"/>
    <w:rsid w:val="00BF56B7"/>
    <w:rsid w:val="00C03763"/>
    <w:rsid w:val="00C11B27"/>
    <w:rsid w:val="00C12853"/>
    <w:rsid w:val="00C136AC"/>
    <w:rsid w:val="00C160FC"/>
    <w:rsid w:val="00C2031E"/>
    <w:rsid w:val="00C20601"/>
    <w:rsid w:val="00C23DE7"/>
    <w:rsid w:val="00C25EDE"/>
    <w:rsid w:val="00C35BCD"/>
    <w:rsid w:val="00C40EE9"/>
    <w:rsid w:val="00C41439"/>
    <w:rsid w:val="00C433D5"/>
    <w:rsid w:val="00C433E3"/>
    <w:rsid w:val="00C4389D"/>
    <w:rsid w:val="00C70598"/>
    <w:rsid w:val="00C75528"/>
    <w:rsid w:val="00C858BE"/>
    <w:rsid w:val="00CA6D8D"/>
    <w:rsid w:val="00CB0FE9"/>
    <w:rsid w:val="00CB16A5"/>
    <w:rsid w:val="00CB1955"/>
    <w:rsid w:val="00CB2C12"/>
    <w:rsid w:val="00CC40D2"/>
    <w:rsid w:val="00CD74F4"/>
    <w:rsid w:val="00CE02C3"/>
    <w:rsid w:val="00CE459C"/>
    <w:rsid w:val="00CE6A52"/>
    <w:rsid w:val="00D045BC"/>
    <w:rsid w:val="00D143CC"/>
    <w:rsid w:val="00D15173"/>
    <w:rsid w:val="00D36A73"/>
    <w:rsid w:val="00D36FBC"/>
    <w:rsid w:val="00D4120E"/>
    <w:rsid w:val="00D53B74"/>
    <w:rsid w:val="00D61A6E"/>
    <w:rsid w:val="00D635E3"/>
    <w:rsid w:val="00D67AF2"/>
    <w:rsid w:val="00D83D1E"/>
    <w:rsid w:val="00D84629"/>
    <w:rsid w:val="00DA1EA8"/>
    <w:rsid w:val="00DA3867"/>
    <w:rsid w:val="00DA7BC5"/>
    <w:rsid w:val="00DB66B0"/>
    <w:rsid w:val="00DC330A"/>
    <w:rsid w:val="00DC4285"/>
    <w:rsid w:val="00DC49E1"/>
    <w:rsid w:val="00DD7613"/>
    <w:rsid w:val="00DF0CD9"/>
    <w:rsid w:val="00DF49E8"/>
    <w:rsid w:val="00E00CBF"/>
    <w:rsid w:val="00E04551"/>
    <w:rsid w:val="00E22201"/>
    <w:rsid w:val="00E428E5"/>
    <w:rsid w:val="00E549DE"/>
    <w:rsid w:val="00E610F3"/>
    <w:rsid w:val="00E63C8B"/>
    <w:rsid w:val="00E65989"/>
    <w:rsid w:val="00E70FD9"/>
    <w:rsid w:val="00E85273"/>
    <w:rsid w:val="00EA2C08"/>
    <w:rsid w:val="00EA34F8"/>
    <w:rsid w:val="00EA65D9"/>
    <w:rsid w:val="00EA779B"/>
    <w:rsid w:val="00EB3478"/>
    <w:rsid w:val="00ED2E13"/>
    <w:rsid w:val="00EF1CF3"/>
    <w:rsid w:val="00EF35DF"/>
    <w:rsid w:val="00F22EC3"/>
    <w:rsid w:val="00F25163"/>
    <w:rsid w:val="00F26303"/>
    <w:rsid w:val="00F300D0"/>
    <w:rsid w:val="00F40033"/>
    <w:rsid w:val="00F402B7"/>
    <w:rsid w:val="00F51867"/>
    <w:rsid w:val="00F61331"/>
    <w:rsid w:val="00F65DA2"/>
    <w:rsid w:val="00F6787F"/>
    <w:rsid w:val="00F718AF"/>
    <w:rsid w:val="00F72AC8"/>
    <w:rsid w:val="00F976C2"/>
    <w:rsid w:val="00FC5966"/>
    <w:rsid w:val="00FC5A41"/>
    <w:rsid w:val="00FE1C5A"/>
    <w:rsid w:val="00FE25D1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2E899"/>
  <w15:docId w15:val="{B3C63C0D-AC07-4A49-915F-6E5E095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aliases w:val="Cita textual,Párrafo de tabla,Tex,Proyecto,Figuras"/>
    <w:basedOn w:val="Normal"/>
    <w:link w:val="PrrafodelistaCar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585F"/>
    <w:rPr>
      <w:b/>
      <w:bCs/>
    </w:rPr>
  </w:style>
  <w:style w:type="character" w:customStyle="1" w:styleId="AsuntodelcomentarioCar">
    <w:name w:val="Asunto del comentario Car"/>
    <w:link w:val="Asuntodelcomentario"/>
    <w:rsid w:val="0040585F"/>
    <w:rPr>
      <w:rFonts w:ascii="Calibri" w:eastAsia="Calibri" w:hAnsi="Calibri"/>
      <w:b/>
      <w:bCs/>
      <w:lang w:eastAsia="en-US"/>
    </w:rPr>
  </w:style>
  <w:style w:type="paragraph" w:customStyle="1" w:styleId="Style3">
    <w:name w:val="Style3"/>
    <w:basedOn w:val="Normal"/>
    <w:uiPriority w:val="99"/>
    <w:rsid w:val="00A26A9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A26A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A26A96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A26A96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link w:val="Textoindependiente2Car"/>
    <w:rsid w:val="004B01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PMingLiU" w:hAnsi="Arial"/>
      <w:sz w:val="20"/>
      <w:szCs w:val="20"/>
      <w:lang w:val="en-U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4B016F"/>
    <w:rPr>
      <w:rFonts w:ascii="Arial" w:eastAsia="PMingLiU" w:hAnsi="Arial"/>
      <w:lang w:val="en-US"/>
    </w:rPr>
  </w:style>
  <w:style w:type="paragraph" w:customStyle="1" w:styleId="Default">
    <w:name w:val="Default"/>
    <w:rsid w:val="004B01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SinespaciadoCar">
    <w:name w:val="Sin espaciado Car"/>
    <w:link w:val="Sinespaciado"/>
    <w:uiPriority w:val="1"/>
    <w:rsid w:val="005622B2"/>
    <w:rPr>
      <w:rFonts w:ascii="Calibri" w:eastAsia="Batang" w:hAnsi="Calibri" w:cs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Cita textual Car,Párrafo de tabla Car,Tex Car,Proyecto Car,Figuras Car"/>
    <w:link w:val="Prrafodelista"/>
    <w:uiPriority w:val="34"/>
    <w:rsid w:val="005622B2"/>
    <w:rPr>
      <w:rFonts w:ascii="Calibri" w:eastAsia="Calibri" w:hAnsi="Calibri"/>
      <w:sz w:val="22"/>
      <w:szCs w:val="22"/>
      <w:lang w:val="es-ES_tradnl" w:eastAsia="en-US"/>
    </w:rPr>
  </w:style>
  <w:style w:type="paragraph" w:styleId="Descripcin">
    <w:name w:val="caption"/>
    <w:basedOn w:val="Normal"/>
    <w:next w:val="Normal"/>
    <w:uiPriority w:val="99"/>
    <w:unhideWhenUsed/>
    <w:qFormat/>
    <w:rsid w:val="005622B2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CO" w:eastAsia="en-US"/>
    </w:rPr>
  </w:style>
  <w:style w:type="character" w:customStyle="1" w:styleId="apple-converted-space">
    <w:name w:val="apple-converted-space"/>
    <w:basedOn w:val="Fuentedeprrafopredeter"/>
    <w:rsid w:val="0056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75A4-257D-4BF6-AB61-CC06DE38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1821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3</cp:revision>
  <cp:lastPrinted>2017-06-07T17:03:00Z</cp:lastPrinted>
  <dcterms:created xsi:type="dcterms:W3CDTF">2022-06-13T21:07:00Z</dcterms:created>
  <dcterms:modified xsi:type="dcterms:W3CDTF">2024-08-05T13:15:00Z</dcterms:modified>
</cp:coreProperties>
</file>