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24DC" w14:textId="77777777" w:rsidR="00770796" w:rsidRPr="00770796" w:rsidRDefault="00770796" w:rsidP="00770796">
      <w:pPr>
        <w:spacing w:after="0" w:line="240" w:lineRule="auto"/>
        <w:rPr>
          <w:rFonts w:ascii="Arial" w:hAnsi="Arial" w:cs="Arial"/>
          <w:b/>
          <w:i/>
          <w:sz w:val="20"/>
          <w:szCs w:val="20"/>
          <w:lang w:val="es-ES"/>
        </w:rPr>
      </w:pPr>
    </w:p>
    <w:tbl>
      <w:tblPr>
        <w:tblStyle w:val="Tablaconcuadrcula"/>
        <w:tblW w:w="0" w:type="auto"/>
        <w:tblLook w:val="04A0" w:firstRow="1" w:lastRow="0" w:firstColumn="1" w:lastColumn="0" w:noHBand="0" w:noVBand="1"/>
      </w:tblPr>
      <w:tblGrid>
        <w:gridCol w:w="3114"/>
        <w:gridCol w:w="709"/>
        <w:gridCol w:w="1984"/>
        <w:gridCol w:w="653"/>
        <w:gridCol w:w="1473"/>
        <w:gridCol w:w="2031"/>
      </w:tblGrid>
      <w:tr w:rsidR="00770796" w:rsidRPr="00770796" w14:paraId="056A4E21" w14:textId="77777777" w:rsidTr="00770796">
        <w:tc>
          <w:tcPr>
            <w:tcW w:w="9964" w:type="dxa"/>
            <w:gridSpan w:val="6"/>
            <w:tcBorders>
              <w:top w:val="single" w:sz="4" w:space="0" w:color="auto"/>
              <w:left w:val="single" w:sz="4" w:space="0" w:color="auto"/>
              <w:bottom w:val="single" w:sz="4" w:space="0" w:color="auto"/>
              <w:right w:val="single" w:sz="4" w:space="0" w:color="auto"/>
            </w:tcBorders>
          </w:tcPr>
          <w:p w14:paraId="3619CFBC"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CONCEPTO: &lt;IMPUESTO DE INDUSTRIA Y COMERCIO/RETENCIÓN EN LA FUENTE DE INDUSTRIA Y COMERCIO&gt;</w:t>
            </w:r>
          </w:p>
          <w:p w14:paraId="17432189" w14:textId="77777777" w:rsidR="00770796" w:rsidRPr="00770796" w:rsidRDefault="00770796" w:rsidP="00770796">
            <w:pPr>
              <w:spacing w:after="0" w:line="240" w:lineRule="auto"/>
              <w:rPr>
                <w:rFonts w:ascii="Arial" w:hAnsi="Arial" w:cs="Arial"/>
                <w:b/>
                <w:sz w:val="20"/>
                <w:szCs w:val="20"/>
                <w:lang w:val="es-ES"/>
              </w:rPr>
            </w:pPr>
          </w:p>
        </w:tc>
      </w:tr>
      <w:tr w:rsidR="00770796" w:rsidRPr="00770796" w14:paraId="698B604A" w14:textId="77777777" w:rsidTr="00770796">
        <w:tc>
          <w:tcPr>
            <w:tcW w:w="3114" w:type="dxa"/>
            <w:tcBorders>
              <w:top w:val="single" w:sz="4" w:space="0" w:color="auto"/>
              <w:left w:val="single" w:sz="4" w:space="0" w:color="auto"/>
              <w:bottom w:val="single" w:sz="4" w:space="0" w:color="auto"/>
              <w:right w:val="single" w:sz="4" w:space="0" w:color="auto"/>
            </w:tcBorders>
            <w:hideMark/>
          </w:tcPr>
          <w:p w14:paraId="5A43F4CB"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PERIODO(S) GRAVABLE(S)/BIMESTRE</w:t>
            </w:r>
          </w:p>
          <w:p w14:paraId="7C130169"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c>
          <w:tcPr>
            <w:tcW w:w="3346" w:type="dxa"/>
            <w:gridSpan w:val="3"/>
            <w:tcBorders>
              <w:top w:val="single" w:sz="4" w:space="0" w:color="auto"/>
              <w:left w:val="single" w:sz="4" w:space="0" w:color="auto"/>
              <w:bottom w:val="single" w:sz="4" w:space="0" w:color="auto"/>
              <w:right w:val="single" w:sz="4" w:space="0" w:color="auto"/>
            </w:tcBorders>
            <w:hideMark/>
          </w:tcPr>
          <w:p w14:paraId="002A080B"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 xml:space="preserve">AUTO </w:t>
            </w:r>
          </w:p>
          <w:p w14:paraId="67833AE0"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insertar</w:t>
            </w:r>
            <w:r w:rsidRPr="00770796">
              <w:rPr>
                <w:rFonts w:ascii="Arial" w:hAnsi="Arial" w:cs="Arial"/>
                <w:b/>
                <w:sz w:val="20"/>
                <w:szCs w:val="20"/>
                <w:lang w:val="es-ES"/>
              </w:rPr>
              <w:tab/>
            </w:r>
          </w:p>
        </w:tc>
        <w:tc>
          <w:tcPr>
            <w:tcW w:w="3504" w:type="dxa"/>
            <w:gridSpan w:val="2"/>
            <w:tcBorders>
              <w:top w:val="single" w:sz="4" w:space="0" w:color="auto"/>
              <w:left w:val="single" w:sz="4" w:space="0" w:color="auto"/>
              <w:bottom w:val="single" w:sz="4" w:space="0" w:color="auto"/>
              <w:right w:val="single" w:sz="4" w:space="0" w:color="auto"/>
            </w:tcBorders>
            <w:hideMark/>
          </w:tcPr>
          <w:p w14:paraId="30769C03"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FECHA AUTO</w:t>
            </w:r>
          </w:p>
          <w:p w14:paraId="514BF1E3"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r>
      <w:tr w:rsidR="00770796" w:rsidRPr="00770796" w14:paraId="208728F9" w14:textId="77777777" w:rsidTr="00770796">
        <w:tc>
          <w:tcPr>
            <w:tcW w:w="3114" w:type="dxa"/>
            <w:tcBorders>
              <w:top w:val="single" w:sz="4" w:space="0" w:color="auto"/>
              <w:left w:val="single" w:sz="4" w:space="0" w:color="auto"/>
              <w:bottom w:val="single" w:sz="4" w:space="0" w:color="auto"/>
              <w:right w:val="single" w:sz="4" w:space="0" w:color="auto"/>
            </w:tcBorders>
            <w:hideMark/>
          </w:tcPr>
          <w:p w14:paraId="22F9D405"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CC/NIT</w:t>
            </w:r>
          </w:p>
          <w:p w14:paraId="65479530"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c>
          <w:tcPr>
            <w:tcW w:w="6850" w:type="dxa"/>
            <w:gridSpan w:val="5"/>
            <w:tcBorders>
              <w:top w:val="single" w:sz="4" w:space="0" w:color="auto"/>
              <w:left w:val="single" w:sz="4" w:space="0" w:color="auto"/>
              <w:bottom w:val="single" w:sz="4" w:space="0" w:color="auto"/>
              <w:right w:val="single" w:sz="4" w:space="0" w:color="auto"/>
            </w:tcBorders>
            <w:hideMark/>
          </w:tcPr>
          <w:p w14:paraId="06333652"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NOMBRE/RAZÓN SOCIAL</w:t>
            </w:r>
          </w:p>
          <w:p w14:paraId="75B7A022"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r>
      <w:tr w:rsidR="00770796" w:rsidRPr="00770796" w14:paraId="3C43853C" w14:textId="77777777" w:rsidTr="00770796">
        <w:tc>
          <w:tcPr>
            <w:tcW w:w="3823" w:type="dxa"/>
            <w:gridSpan w:val="2"/>
            <w:tcBorders>
              <w:top w:val="single" w:sz="4" w:space="0" w:color="auto"/>
              <w:left w:val="single" w:sz="4" w:space="0" w:color="auto"/>
              <w:bottom w:val="single" w:sz="4" w:space="0" w:color="auto"/>
              <w:right w:val="single" w:sz="4" w:space="0" w:color="auto"/>
            </w:tcBorders>
            <w:hideMark/>
          </w:tcPr>
          <w:p w14:paraId="7C3B8C3B"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 xml:space="preserve">DIRECCIÓN </w:t>
            </w:r>
          </w:p>
          <w:p w14:paraId="137FA0FB"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c>
          <w:tcPr>
            <w:tcW w:w="1984" w:type="dxa"/>
            <w:tcBorders>
              <w:top w:val="single" w:sz="4" w:space="0" w:color="auto"/>
              <w:left w:val="single" w:sz="4" w:space="0" w:color="auto"/>
              <w:bottom w:val="single" w:sz="4" w:space="0" w:color="auto"/>
              <w:right w:val="single" w:sz="4" w:space="0" w:color="auto"/>
            </w:tcBorders>
            <w:hideMark/>
          </w:tcPr>
          <w:p w14:paraId="224F863E"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TELÉFONO</w:t>
            </w:r>
          </w:p>
          <w:p w14:paraId="5FDDAFD2"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c>
          <w:tcPr>
            <w:tcW w:w="2126" w:type="dxa"/>
            <w:gridSpan w:val="2"/>
            <w:tcBorders>
              <w:top w:val="single" w:sz="4" w:space="0" w:color="auto"/>
              <w:left w:val="single" w:sz="4" w:space="0" w:color="auto"/>
              <w:bottom w:val="single" w:sz="4" w:space="0" w:color="auto"/>
              <w:right w:val="single" w:sz="4" w:space="0" w:color="auto"/>
            </w:tcBorders>
            <w:hideMark/>
          </w:tcPr>
          <w:p w14:paraId="56AEE713"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DEPARTAMENTO</w:t>
            </w:r>
          </w:p>
          <w:p w14:paraId="0EE3B14D"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c>
          <w:tcPr>
            <w:tcW w:w="2031" w:type="dxa"/>
            <w:tcBorders>
              <w:top w:val="single" w:sz="4" w:space="0" w:color="auto"/>
              <w:left w:val="single" w:sz="4" w:space="0" w:color="auto"/>
              <w:bottom w:val="single" w:sz="4" w:space="0" w:color="auto"/>
              <w:right w:val="single" w:sz="4" w:space="0" w:color="auto"/>
            </w:tcBorders>
            <w:hideMark/>
          </w:tcPr>
          <w:p w14:paraId="501591F1"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MUNICIPIO</w:t>
            </w:r>
          </w:p>
          <w:p w14:paraId="668CA284" w14:textId="77777777" w:rsidR="00770796" w:rsidRPr="00770796" w:rsidRDefault="00770796" w:rsidP="00770796">
            <w:pPr>
              <w:spacing w:after="0" w:line="240" w:lineRule="auto"/>
              <w:rPr>
                <w:rFonts w:ascii="Arial" w:hAnsi="Arial" w:cs="Arial"/>
                <w:b/>
                <w:sz w:val="20"/>
                <w:szCs w:val="20"/>
                <w:lang w:val="es-ES"/>
              </w:rPr>
            </w:pPr>
            <w:r w:rsidRPr="00770796">
              <w:rPr>
                <w:rFonts w:ascii="Arial" w:hAnsi="Arial" w:cs="Arial"/>
                <w:b/>
                <w:sz w:val="20"/>
                <w:szCs w:val="20"/>
                <w:lang w:val="es-ES"/>
              </w:rPr>
              <w:t>Insertar</w:t>
            </w:r>
          </w:p>
        </w:tc>
      </w:tr>
      <w:tr w:rsidR="00770796" w:rsidRPr="00770796" w14:paraId="1352BC7D" w14:textId="77777777" w:rsidTr="00770796">
        <w:tc>
          <w:tcPr>
            <w:tcW w:w="9964" w:type="dxa"/>
            <w:gridSpan w:val="6"/>
            <w:tcBorders>
              <w:top w:val="single" w:sz="4" w:space="0" w:color="auto"/>
              <w:left w:val="single" w:sz="4" w:space="0" w:color="auto"/>
              <w:bottom w:val="single" w:sz="4" w:space="0" w:color="auto"/>
              <w:right w:val="single" w:sz="4" w:space="0" w:color="auto"/>
            </w:tcBorders>
            <w:hideMark/>
          </w:tcPr>
          <w:p w14:paraId="055B1C20" w14:textId="77777777" w:rsidR="00770796" w:rsidRPr="00770796" w:rsidRDefault="00770796" w:rsidP="00770796">
            <w:pPr>
              <w:spacing w:after="0" w:line="240" w:lineRule="auto"/>
              <w:jc w:val="center"/>
              <w:rPr>
                <w:rFonts w:ascii="Arial" w:hAnsi="Arial" w:cs="Arial"/>
                <w:b/>
                <w:i/>
                <w:sz w:val="20"/>
                <w:szCs w:val="20"/>
                <w:lang w:val="es-ES"/>
              </w:rPr>
            </w:pPr>
            <w:r w:rsidRPr="00770796">
              <w:rPr>
                <w:rFonts w:ascii="Arial" w:hAnsi="Arial" w:cs="Arial"/>
                <w:b/>
                <w:i/>
                <w:sz w:val="20"/>
                <w:szCs w:val="20"/>
                <w:lang w:val="es-ES"/>
              </w:rPr>
              <w:t xml:space="preserve">“Por medio del cual se </w:t>
            </w:r>
            <w:r>
              <w:rPr>
                <w:rFonts w:ascii="Arial" w:hAnsi="Arial" w:cs="Arial"/>
                <w:b/>
                <w:i/>
                <w:sz w:val="20"/>
                <w:szCs w:val="20"/>
                <w:lang w:val="es-ES"/>
              </w:rPr>
              <w:t>resuelve un recurso de reposición</w:t>
            </w:r>
            <w:r w:rsidRPr="00770796">
              <w:rPr>
                <w:rFonts w:ascii="Arial" w:hAnsi="Arial" w:cs="Arial"/>
                <w:b/>
                <w:i/>
                <w:sz w:val="20"/>
                <w:szCs w:val="20"/>
                <w:lang w:val="es-ES"/>
              </w:rPr>
              <w:t>”</w:t>
            </w:r>
          </w:p>
        </w:tc>
      </w:tr>
    </w:tbl>
    <w:p w14:paraId="6815B81D" w14:textId="77777777" w:rsidR="00606F4C" w:rsidRPr="004949D3" w:rsidRDefault="00606F4C" w:rsidP="003F656C">
      <w:pPr>
        <w:spacing w:after="0" w:line="240" w:lineRule="auto"/>
        <w:rPr>
          <w:rFonts w:ascii="Arial" w:eastAsia="Times New Roman" w:hAnsi="Arial" w:cs="Arial"/>
          <w:b/>
          <w:sz w:val="24"/>
          <w:szCs w:val="24"/>
          <w:lang w:eastAsia="es-CO"/>
        </w:rPr>
      </w:pPr>
    </w:p>
    <w:p w14:paraId="24450CEC" w14:textId="4E3E2D59" w:rsidR="009B6965" w:rsidRDefault="009B6965" w:rsidP="003F656C">
      <w:pPr>
        <w:spacing w:after="0" w:line="240" w:lineRule="auto"/>
        <w:jc w:val="both"/>
        <w:rPr>
          <w:rFonts w:ascii="Arial" w:eastAsia="Times New Roman" w:hAnsi="Arial" w:cs="Arial"/>
          <w:sz w:val="24"/>
          <w:lang w:eastAsia="es-CO"/>
        </w:rPr>
      </w:pPr>
      <w:r w:rsidRPr="004949D3">
        <w:rPr>
          <w:rFonts w:ascii="Arial" w:eastAsia="Times New Roman" w:hAnsi="Arial" w:cs="Arial"/>
          <w:sz w:val="24"/>
          <w:lang w:eastAsia="es-CO"/>
        </w:rPr>
        <w:t>La Oficina de Fiscalización, Control y Cobro Persuasivo</w:t>
      </w:r>
      <w:r w:rsidR="006073C9">
        <w:rPr>
          <w:rFonts w:ascii="Arial" w:eastAsia="Times New Roman" w:hAnsi="Arial" w:cs="Arial"/>
          <w:sz w:val="24"/>
          <w:lang w:eastAsia="es-CO"/>
        </w:rPr>
        <w:t xml:space="preserve"> del Municipio de Itagüí</w:t>
      </w:r>
      <w:r w:rsidRPr="004949D3">
        <w:rPr>
          <w:rFonts w:ascii="Arial" w:eastAsia="Times New Roman" w:hAnsi="Arial" w:cs="Arial"/>
          <w:sz w:val="24"/>
          <w:lang w:eastAsia="es-CO"/>
        </w:rPr>
        <w:t>, en uso de las atribuciones legales, especi</w:t>
      </w:r>
      <w:r w:rsidR="00993D2A" w:rsidRPr="004949D3">
        <w:rPr>
          <w:rFonts w:ascii="Arial" w:eastAsia="Times New Roman" w:hAnsi="Arial" w:cs="Arial"/>
          <w:sz w:val="24"/>
          <w:lang w:eastAsia="es-CO"/>
        </w:rPr>
        <w:t>almente las confe</w:t>
      </w:r>
      <w:r w:rsidR="00606F4C" w:rsidRPr="004949D3">
        <w:rPr>
          <w:rFonts w:ascii="Arial" w:eastAsia="Times New Roman" w:hAnsi="Arial" w:cs="Arial"/>
          <w:sz w:val="24"/>
          <w:lang w:eastAsia="es-CO"/>
        </w:rPr>
        <w:t xml:space="preserve">ridas por los </w:t>
      </w:r>
      <w:r w:rsidR="006073C9">
        <w:rPr>
          <w:rFonts w:ascii="Arial" w:eastAsia="Times New Roman" w:hAnsi="Arial" w:cs="Arial"/>
          <w:sz w:val="24"/>
          <w:lang w:eastAsia="es-CO"/>
        </w:rPr>
        <w:t>a</w:t>
      </w:r>
      <w:r w:rsidR="00EB4DC7">
        <w:rPr>
          <w:rFonts w:ascii="Arial" w:eastAsia="Times New Roman" w:hAnsi="Arial" w:cs="Arial"/>
          <w:sz w:val="24"/>
          <w:lang w:eastAsia="es-CO"/>
        </w:rPr>
        <w:t>rtículos 3</w:t>
      </w:r>
      <w:r w:rsidR="0057452D">
        <w:rPr>
          <w:rFonts w:ascii="Arial" w:eastAsia="Times New Roman" w:hAnsi="Arial" w:cs="Arial"/>
          <w:sz w:val="24"/>
          <w:lang w:eastAsia="es-CO"/>
        </w:rPr>
        <w:t>00, 311, 3</w:t>
      </w:r>
      <w:r w:rsidR="00EB4DC7">
        <w:rPr>
          <w:rFonts w:ascii="Arial" w:eastAsia="Times New Roman" w:hAnsi="Arial" w:cs="Arial"/>
          <w:sz w:val="24"/>
          <w:lang w:eastAsia="es-CO"/>
        </w:rPr>
        <w:t>12</w:t>
      </w:r>
      <w:r w:rsidR="00D60B0E">
        <w:rPr>
          <w:rFonts w:ascii="Arial" w:eastAsia="Times New Roman" w:hAnsi="Arial" w:cs="Arial"/>
          <w:sz w:val="24"/>
          <w:lang w:eastAsia="es-CO"/>
        </w:rPr>
        <w:t>, 3</w:t>
      </w:r>
      <w:r w:rsidR="00C639A9">
        <w:rPr>
          <w:rFonts w:ascii="Arial" w:eastAsia="Times New Roman" w:hAnsi="Arial" w:cs="Arial"/>
          <w:sz w:val="24"/>
          <w:lang w:eastAsia="es-CO"/>
        </w:rPr>
        <w:t>38</w:t>
      </w:r>
      <w:r w:rsidR="0057452D">
        <w:rPr>
          <w:rFonts w:ascii="Arial" w:eastAsia="Times New Roman" w:hAnsi="Arial" w:cs="Arial"/>
          <w:sz w:val="24"/>
          <w:lang w:eastAsia="es-CO"/>
        </w:rPr>
        <w:t xml:space="preserve"> y 340</w:t>
      </w:r>
      <w:r w:rsidR="00D60B0E">
        <w:rPr>
          <w:rFonts w:ascii="Arial" w:eastAsia="Times New Roman" w:hAnsi="Arial" w:cs="Arial"/>
          <w:sz w:val="24"/>
          <w:lang w:eastAsia="es-CO"/>
        </w:rPr>
        <w:t xml:space="preserve"> </w:t>
      </w:r>
      <w:r w:rsidRPr="004949D3">
        <w:rPr>
          <w:rFonts w:ascii="Arial" w:eastAsia="Times New Roman" w:hAnsi="Arial" w:cs="Arial"/>
          <w:sz w:val="24"/>
          <w:lang w:eastAsia="es-CO"/>
        </w:rPr>
        <w:t xml:space="preserve">del </w:t>
      </w:r>
      <w:r w:rsidR="0057452D">
        <w:rPr>
          <w:rFonts w:ascii="Arial" w:eastAsia="Times New Roman" w:hAnsi="Arial" w:cs="Arial"/>
          <w:sz w:val="24"/>
          <w:lang w:eastAsia="es-CO"/>
        </w:rPr>
        <w:t>Acuerdo 023 de 2021 – Estatuto Tributario Municipal</w:t>
      </w:r>
      <w:r w:rsidRPr="004949D3">
        <w:rPr>
          <w:rFonts w:ascii="Arial" w:eastAsia="Times New Roman" w:hAnsi="Arial" w:cs="Arial"/>
          <w:sz w:val="24"/>
          <w:lang w:eastAsia="es-CO"/>
        </w:rPr>
        <w:t xml:space="preserve">, </w:t>
      </w:r>
      <w:r w:rsidR="00B36269">
        <w:rPr>
          <w:rFonts w:ascii="Arial" w:eastAsia="Times New Roman" w:hAnsi="Arial" w:cs="Arial"/>
          <w:sz w:val="24"/>
          <w:lang w:eastAsia="es-CO"/>
        </w:rPr>
        <w:t>Decreto Municipal 317 de 2022</w:t>
      </w:r>
      <w:r w:rsidR="00D60B0E">
        <w:rPr>
          <w:rFonts w:ascii="Arial" w:eastAsia="Times New Roman" w:hAnsi="Arial" w:cs="Arial"/>
          <w:sz w:val="24"/>
          <w:lang w:eastAsia="es-CO"/>
        </w:rPr>
        <w:t xml:space="preserve">, </w:t>
      </w:r>
      <w:r w:rsidRPr="004949D3">
        <w:rPr>
          <w:rFonts w:ascii="Arial" w:eastAsia="Times New Roman" w:hAnsi="Arial" w:cs="Arial"/>
          <w:sz w:val="24"/>
          <w:lang w:eastAsia="es-CO"/>
        </w:rPr>
        <w:t xml:space="preserve">y demás </w:t>
      </w:r>
      <w:r w:rsidR="0057452D">
        <w:rPr>
          <w:rFonts w:ascii="Arial" w:eastAsia="Times New Roman" w:hAnsi="Arial" w:cs="Arial"/>
          <w:sz w:val="24"/>
          <w:lang w:eastAsia="es-CO"/>
        </w:rPr>
        <w:t>que rigen la materia,</w:t>
      </w:r>
      <w:r w:rsidRPr="004949D3">
        <w:rPr>
          <w:rFonts w:ascii="Arial" w:eastAsia="Times New Roman" w:hAnsi="Arial" w:cs="Arial"/>
          <w:sz w:val="24"/>
          <w:lang w:eastAsia="es-CO"/>
        </w:rPr>
        <w:t xml:space="preserve"> </w:t>
      </w:r>
    </w:p>
    <w:p w14:paraId="0BACA289" w14:textId="77777777" w:rsidR="009B6965" w:rsidRPr="004949D3" w:rsidRDefault="009B6965" w:rsidP="003F656C">
      <w:pPr>
        <w:spacing w:after="0" w:line="240" w:lineRule="auto"/>
        <w:jc w:val="both"/>
        <w:rPr>
          <w:rFonts w:ascii="Arial" w:eastAsia="Times New Roman" w:hAnsi="Arial" w:cs="Arial"/>
          <w:sz w:val="24"/>
          <w:lang w:eastAsia="es-CO"/>
        </w:rPr>
      </w:pPr>
    </w:p>
    <w:p w14:paraId="78E4165E" w14:textId="77777777" w:rsidR="00D60B0E" w:rsidRPr="00AD0E5E" w:rsidRDefault="009B6965" w:rsidP="00AD0E5E">
      <w:pPr>
        <w:spacing w:after="0" w:line="240" w:lineRule="auto"/>
        <w:jc w:val="center"/>
        <w:rPr>
          <w:rFonts w:ascii="Arial" w:eastAsia="Times New Roman" w:hAnsi="Arial" w:cs="Arial"/>
          <w:b/>
          <w:sz w:val="24"/>
          <w:lang w:eastAsia="es-CO"/>
        </w:rPr>
      </w:pPr>
      <w:r w:rsidRPr="004949D3">
        <w:rPr>
          <w:rFonts w:ascii="Arial" w:eastAsia="Times New Roman" w:hAnsi="Arial" w:cs="Arial"/>
          <w:b/>
          <w:sz w:val="24"/>
          <w:lang w:eastAsia="es-CO"/>
        </w:rPr>
        <w:t>CONSIDERANDO</w:t>
      </w:r>
      <w:r w:rsidR="00D60B0E" w:rsidRPr="00D60B0E">
        <w:rPr>
          <w:rFonts w:ascii="Arial" w:hAnsi="Arial" w:cs="Arial"/>
          <w:sz w:val="24"/>
          <w:lang w:eastAsia="es-CO"/>
        </w:rPr>
        <w:t>.</w:t>
      </w:r>
    </w:p>
    <w:p w14:paraId="613B019E" w14:textId="77777777" w:rsidR="009B6965" w:rsidRPr="004949D3" w:rsidRDefault="009B6965" w:rsidP="003F656C">
      <w:pPr>
        <w:autoSpaceDE w:val="0"/>
        <w:autoSpaceDN w:val="0"/>
        <w:adjustRightInd w:val="0"/>
        <w:spacing w:after="0" w:line="240" w:lineRule="auto"/>
        <w:jc w:val="both"/>
        <w:rPr>
          <w:rFonts w:ascii="Arial" w:hAnsi="Arial" w:cs="Arial"/>
          <w:sz w:val="24"/>
          <w:lang w:eastAsia="es-CO"/>
        </w:rPr>
      </w:pPr>
    </w:p>
    <w:p w14:paraId="2FB9F2C6" w14:textId="77777777" w:rsidR="00A37622" w:rsidRPr="00A37622" w:rsidRDefault="00A37622" w:rsidP="00A37622">
      <w:pPr>
        <w:pStyle w:val="Cuadrculamedia21"/>
        <w:jc w:val="both"/>
        <w:rPr>
          <w:rFonts w:ascii="Arial" w:eastAsia="Times New Roman" w:hAnsi="Arial" w:cs="Arial"/>
          <w:sz w:val="24"/>
          <w:lang w:val="es-CO" w:eastAsia="es-CO"/>
        </w:rPr>
      </w:pPr>
      <w:r w:rsidRPr="001C1DF0">
        <w:rPr>
          <w:rFonts w:ascii="Arial" w:eastAsia="Times New Roman" w:hAnsi="Arial" w:cs="Arial"/>
          <w:sz w:val="24"/>
          <w:lang w:val="es-CO" w:eastAsia="es-CO"/>
        </w:rPr>
        <w:t xml:space="preserve">Que la Oficina de Fiscalización, Control y Cobro Persuasivo emitió el pasado </w:t>
      </w:r>
      <w:r w:rsidRPr="00EB6D7D">
        <w:rPr>
          <w:rFonts w:ascii="Arial" w:eastAsia="Times New Roman" w:hAnsi="Arial" w:cs="Arial"/>
          <w:color w:val="FF0000"/>
          <w:sz w:val="24"/>
          <w:lang w:val="es-CO" w:eastAsia="es-CO"/>
        </w:rPr>
        <w:t xml:space="preserve">(insertar) </w:t>
      </w:r>
      <w:r w:rsidRPr="001C1DF0">
        <w:rPr>
          <w:rFonts w:ascii="Arial" w:eastAsia="Times New Roman" w:hAnsi="Arial" w:cs="Arial"/>
          <w:sz w:val="24"/>
          <w:lang w:val="es-CO" w:eastAsia="es-CO"/>
        </w:rPr>
        <w:t xml:space="preserve">Auto Declarativo No. </w:t>
      </w:r>
      <w:r w:rsidRPr="00EB6D7D">
        <w:rPr>
          <w:rFonts w:ascii="Arial" w:eastAsia="Times New Roman" w:hAnsi="Arial" w:cs="Arial"/>
          <w:color w:val="FF0000"/>
          <w:sz w:val="24"/>
          <w:lang w:val="es-CO" w:eastAsia="es-CO"/>
        </w:rPr>
        <w:t xml:space="preserve">(insertar) </w:t>
      </w:r>
      <w:r w:rsidRPr="00A37622">
        <w:rPr>
          <w:rFonts w:ascii="Arial" w:eastAsia="Times New Roman" w:hAnsi="Arial" w:cs="Arial"/>
          <w:i/>
          <w:sz w:val="24"/>
          <w:lang w:val="es-CO" w:eastAsia="es-CO"/>
        </w:rPr>
        <w:t>“Por medio del cual se da por no presentada una declaración privada”</w:t>
      </w:r>
      <w:r>
        <w:rPr>
          <w:rFonts w:ascii="Arial" w:eastAsia="Times New Roman" w:hAnsi="Arial" w:cs="Arial"/>
          <w:i/>
          <w:sz w:val="24"/>
          <w:lang w:val="es-CO" w:eastAsia="es-CO"/>
        </w:rPr>
        <w:t>,</w:t>
      </w:r>
      <w:r>
        <w:rPr>
          <w:rFonts w:ascii="Arial" w:eastAsia="Times New Roman" w:hAnsi="Arial" w:cs="Arial"/>
          <w:sz w:val="24"/>
          <w:lang w:val="es-CO" w:eastAsia="es-CO"/>
        </w:rPr>
        <w:t xml:space="preserve"> al </w:t>
      </w:r>
      <w:r w:rsidR="00D60B0E" w:rsidRPr="00D60B0E">
        <w:rPr>
          <w:rFonts w:ascii="Arial" w:eastAsia="Times New Roman" w:hAnsi="Arial" w:cs="Arial"/>
          <w:sz w:val="24"/>
          <w:lang w:val="es-CO" w:eastAsia="es-CO"/>
        </w:rPr>
        <w:t>contribuyente/agente retenedor</w:t>
      </w:r>
      <w:r>
        <w:rPr>
          <w:rFonts w:ascii="Arial" w:eastAsia="Times New Roman" w:hAnsi="Arial" w:cs="Arial"/>
          <w:sz w:val="24"/>
          <w:lang w:val="es-CO" w:eastAsia="es-CO"/>
        </w:rPr>
        <w:t xml:space="preserve"> (insertar) identificado con Nit </w:t>
      </w:r>
      <w:r w:rsidR="00AD0E5E">
        <w:rPr>
          <w:rFonts w:ascii="Arial" w:eastAsia="Times New Roman" w:hAnsi="Arial" w:cs="Arial"/>
          <w:color w:val="FF0000"/>
          <w:sz w:val="24"/>
          <w:lang w:val="es-CO" w:eastAsia="es-CO"/>
        </w:rPr>
        <w:t>(insertar)</w:t>
      </w:r>
      <w:r w:rsidR="00D60B0E">
        <w:rPr>
          <w:rFonts w:ascii="Arial" w:eastAsia="Times New Roman" w:hAnsi="Arial" w:cs="Arial"/>
          <w:sz w:val="24"/>
          <w:lang w:val="es-CO" w:eastAsia="es-CO"/>
        </w:rPr>
        <w:t>.</w:t>
      </w:r>
    </w:p>
    <w:p w14:paraId="0BA370BF" w14:textId="77777777" w:rsidR="00A37622" w:rsidRDefault="00A37622" w:rsidP="000327B6">
      <w:pPr>
        <w:autoSpaceDE w:val="0"/>
        <w:autoSpaceDN w:val="0"/>
        <w:adjustRightInd w:val="0"/>
        <w:spacing w:after="0" w:line="240" w:lineRule="auto"/>
        <w:jc w:val="both"/>
        <w:rPr>
          <w:rFonts w:ascii="Arial" w:hAnsi="Arial" w:cs="Arial"/>
          <w:sz w:val="24"/>
        </w:rPr>
      </w:pPr>
    </w:p>
    <w:p w14:paraId="1829088F" w14:textId="425E881F" w:rsidR="00AD0E5E" w:rsidRDefault="00AD0E5E" w:rsidP="000327B6">
      <w:pPr>
        <w:autoSpaceDE w:val="0"/>
        <w:autoSpaceDN w:val="0"/>
        <w:adjustRightInd w:val="0"/>
        <w:spacing w:after="0" w:line="240" w:lineRule="auto"/>
        <w:jc w:val="both"/>
        <w:rPr>
          <w:rFonts w:ascii="Arial" w:eastAsia="Times New Roman" w:hAnsi="Arial" w:cs="Arial"/>
          <w:sz w:val="24"/>
          <w:lang w:eastAsia="es-CO"/>
        </w:rPr>
      </w:pPr>
      <w:r>
        <w:rPr>
          <w:rFonts w:ascii="Arial" w:hAnsi="Arial" w:cs="Arial"/>
          <w:sz w:val="24"/>
        </w:rPr>
        <w:t>Lo anterior</w:t>
      </w:r>
      <w:r w:rsidR="0057452D">
        <w:rPr>
          <w:rFonts w:ascii="Arial" w:hAnsi="Arial" w:cs="Arial"/>
          <w:sz w:val="24"/>
        </w:rPr>
        <w:t>,</w:t>
      </w:r>
      <w:r>
        <w:rPr>
          <w:rFonts w:ascii="Arial" w:hAnsi="Arial" w:cs="Arial"/>
          <w:sz w:val="24"/>
        </w:rPr>
        <w:t xml:space="preserve"> por cuanto en la declaración (insertar) del (insertar) </w:t>
      </w:r>
      <w:r>
        <w:rPr>
          <w:rFonts w:ascii="Arial" w:eastAsia="Times New Roman" w:hAnsi="Arial" w:cs="Arial"/>
          <w:sz w:val="24"/>
          <w:lang w:eastAsia="es-CO"/>
        </w:rPr>
        <w:t xml:space="preserve">correspondiente al periodo gravable/bimestre, se observó </w:t>
      </w:r>
      <w:r>
        <w:rPr>
          <w:rFonts w:ascii="Arial" w:eastAsia="Times New Roman" w:hAnsi="Arial" w:cs="Arial"/>
          <w:sz w:val="24"/>
          <w:szCs w:val="24"/>
          <w:lang w:eastAsia="ar-SA"/>
        </w:rPr>
        <w:t xml:space="preserve">que </w:t>
      </w:r>
      <w:r w:rsidRPr="00E23F27">
        <w:rPr>
          <w:rFonts w:ascii="Arial" w:eastAsia="Times New Roman" w:hAnsi="Arial" w:cs="Arial"/>
          <w:color w:val="FF0000"/>
          <w:sz w:val="24"/>
          <w:szCs w:val="24"/>
          <w:lang w:eastAsia="ar-SA"/>
        </w:rPr>
        <w:t xml:space="preserve">(Indicar la </w:t>
      </w:r>
      <w:r>
        <w:rPr>
          <w:rFonts w:ascii="Arial" w:eastAsia="Times New Roman" w:hAnsi="Arial" w:cs="Arial"/>
          <w:color w:val="FF0000"/>
          <w:sz w:val="24"/>
          <w:szCs w:val="24"/>
          <w:lang w:eastAsia="ar-SA"/>
        </w:rPr>
        <w:t>causal por la</w:t>
      </w:r>
      <w:r w:rsidRPr="00E23F27">
        <w:rPr>
          <w:rFonts w:ascii="Arial" w:eastAsia="Times New Roman" w:hAnsi="Arial" w:cs="Arial"/>
          <w:color w:val="FF0000"/>
          <w:sz w:val="24"/>
          <w:szCs w:val="24"/>
          <w:lang w:eastAsia="ar-SA"/>
        </w:rPr>
        <w:t xml:space="preserve"> cual se d</w:t>
      </w:r>
      <w:r>
        <w:rPr>
          <w:rFonts w:ascii="Arial" w:eastAsia="Times New Roman" w:hAnsi="Arial" w:cs="Arial"/>
          <w:color w:val="FF0000"/>
          <w:sz w:val="24"/>
          <w:szCs w:val="24"/>
          <w:lang w:eastAsia="ar-SA"/>
        </w:rPr>
        <w:t>ebe dar por</w:t>
      </w:r>
      <w:r w:rsidRPr="00E23F27">
        <w:rPr>
          <w:rFonts w:ascii="Arial" w:eastAsia="Times New Roman" w:hAnsi="Arial" w:cs="Arial"/>
          <w:color w:val="FF0000"/>
          <w:sz w:val="24"/>
          <w:szCs w:val="24"/>
          <w:lang w:eastAsia="ar-SA"/>
        </w:rPr>
        <w:t xml:space="preserve"> no presentada la declaración)</w:t>
      </w:r>
    </w:p>
    <w:p w14:paraId="793A2020" w14:textId="77777777" w:rsidR="00AD0E5E" w:rsidRDefault="00AD0E5E" w:rsidP="000327B6">
      <w:pPr>
        <w:autoSpaceDE w:val="0"/>
        <w:autoSpaceDN w:val="0"/>
        <w:adjustRightInd w:val="0"/>
        <w:spacing w:after="0" w:line="240" w:lineRule="auto"/>
        <w:jc w:val="both"/>
        <w:rPr>
          <w:rFonts w:ascii="Arial" w:eastAsia="Times New Roman" w:hAnsi="Arial" w:cs="Arial"/>
          <w:sz w:val="24"/>
          <w:lang w:eastAsia="es-CO"/>
        </w:rPr>
      </w:pPr>
    </w:p>
    <w:p w14:paraId="45EF6515" w14:textId="6021DB39" w:rsidR="00B17B60" w:rsidRDefault="00993D2A" w:rsidP="000327B6">
      <w:pPr>
        <w:autoSpaceDE w:val="0"/>
        <w:autoSpaceDN w:val="0"/>
        <w:adjustRightInd w:val="0"/>
        <w:spacing w:after="0" w:line="240" w:lineRule="auto"/>
        <w:jc w:val="both"/>
        <w:rPr>
          <w:rFonts w:ascii="Arial" w:hAnsi="Arial" w:cs="Arial"/>
          <w:sz w:val="24"/>
        </w:rPr>
      </w:pPr>
      <w:r w:rsidRPr="004949D3">
        <w:rPr>
          <w:rFonts w:ascii="Arial" w:hAnsi="Arial" w:cs="Arial"/>
          <w:sz w:val="24"/>
        </w:rPr>
        <w:t xml:space="preserve">Que </w:t>
      </w:r>
      <w:r w:rsidR="00A37622">
        <w:rPr>
          <w:rFonts w:ascii="Arial" w:hAnsi="Arial" w:cs="Arial"/>
          <w:sz w:val="24"/>
        </w:rPr>
        <w:t xml:space="preserve">el </w:t>
      </w:r>
      <w:r w:rsidR="00D60B0E" w:rsidRPr="00D60B0E">
        <w:rPr>
          <w:rFonts w:ascii="Arial" w:hAnsi="Arial" w:cs="Arial"/>
          <w:sz w:val="24"/>
        </w:rPr>
        <w:t>contribuyente/agente retenedor</w:t>
      </w:r>
      <w:r w:rsidR="00736885">
        <w:rPr>
          <w:rFonts w:ascii="Arial" w:hAnsi="Arial" w:cs="Arial"/>
          <w:sz w:val="24"/>
        </w:rPr>
        <w:t xml:space="preserve"> </w:t>
      </w:r>
      <w:r w:rsidR="00F322E0" w:rsidRPr="00050EB0">
        <w:rPr>
          <w:rFonts w:ascii="Arial" w:hAnsi="Arial" w:cs="Arial"/>
          <w:b/>
          <w:color w:val="000000" w:themeColor="text1"/>
          <w:sz w:val="24"/>
        </w:rPr>
        <w:t xml:space="preserve">(insertar) </w:t>
      </w:r>
      <w:r w:rsidR="00736885" w:rsidRPr="00736885">
        <w:rPr>
          <w:rFonts w:ascii="Arial" w:hAnsi="Arial" w:cs="Arial"/>
          <w:sz w:val="24"/>
        </w:rPr>
        <w:t xml:space="preserve">identificada con Nit. </w:t>
      </w:r>
      <w:r w:rsidR="00F322E0">
        <w:rPr>
          <w:rFonts w:ascii="Arial" w:hAnsi="Arial" w:cs="Arial"/>
          <w:b/>
          <w:sz w:val="24"/>
        </w:rPr>
        <w:t>(insertar)</w:t>
      </w:r>
      <w:r w:rsidR="00721CD5" w:rsidRPr="004949D3">
        <w:rPr>
          <w:rFonts w:ascii="Arial" w:hAnsi="Arial" w:cs="Arial"/>
          <w:sz w:val="24"/>
        </w:rPr>
        <w:t>,</w:t>
      </w:r>
      <w:r w:rsidR="00721CD5" w:rsidRPr="004949D3">
        <w:rPr>
          <w:rFonts w:ascii="Arial" w:hAnsi="Arial" w:cs="Arial"/>
          <w:b/>
          <w:sz w:val="24"/>
        </w:rPr>
        <w:t xml:space="preserve"> </w:t>
      </w:r>
      <w:r w:rsidRPr="004949D3">
        <w:rPr>
          <w:rFonts w:ascii="Arial" w:hAnsi="Arial" w:cs="Arial"/>
          <w:sz w:val="24"/>
        </w:rPr>
        <w:t xml:space="preserve">presentó </w:t>
      </w:r>
      <w:r w:rsidR="0057452D">
        <w:rPr>
          <w:rFonts w:ascii="Arial" w:hAnsi="Arial" w:cs="Arial"/>
          <w:sz w:val="24"/>
        </w:rPr>
        <w:t xml:space="preserve">dentro </w:t>
      </w:r>
      <w:r w:rsidR="00A37622">
        <w:rPr>
          <w:rFonts w:ascii="Arial" w:hAnsi="Arial" w:cs="Arial"/>
          <w:sz w:val="24"/>
        </w:rPr>
        <w:t xml:space="preserve">del término </w:t>
      </w:r>
      <w:r w:rsidR="0057452D">
        <w:rPr>
          <w:rFonts w:ascii="Arial" w:hAnsi="Arial" w:cs="Arial"/>
          <w:sz w:val="24"/>
        </w:rPr>
        <w:t>establecido para tal efecto</w:t>
      </w:r>
      <w:r w:rsidR="00A37622">
        <w:rPr>
          <w:rFonts w:ascii="Arial" w:hAnsi="Arial" w:cs="Arial"/>
          <w:sz w:val="24"/>
        </w:rPr>
        <w:t xml:space="preserve">, </w:t>
      </w:r>
      <w:r w:rsidR="0057452D">
        <w:rPr>
          <w:rFonts w:ascii="Arial" w:hAnsi="Arial" w:cs="Arial"/>
          <w:sz w:val="24"/>
        </w:rPr>
        <w:t>r</w:t>
      </w:r>
      <w:r w:rsidR="007953BD">
        <w:rPr>
          <w:rFonts w:ascii="Arial" w:hAnsi="Arial" w:cs="Arial"/>
          <w:sz w:val="24"/>
        </w:rPr>
        <w:t xml:space="preserve">ecurso de </w:t>
      </w:r>
      <w:r w:rsidR="0057452D">
        <w:rPr>
          <w:rFonts w:ascii="Arial" w:hAnsi="Arial" w:cs="Arial"/>
          <w:sz w:val="24"/>
        </w:rPr>
        <w:t>r</w:t>
      </w:r>
      <w:r w:rsidR="00A37622">
        <w:rPr>
          <w:rFonts w:ascii="Arial" w:hAnsi="Arial" w:cs="Arial"/>
          <w:sz w:val="24"/>
        </w:rPr>
        <w:t xml:space="preserve">eposición </w:t>
      </w:r>
      <w:r w:rsidR="0057452D">
        <w:rPr>
          <w:rFonts w:ascii="Arial" w:hAnsi="Arial" w:cs="Arial"/>
          <w:sz w:val="24"/>
        </w:rPr>
        <w:t xml:space="preserve">y </w:t>
      </w:r>
      <w:r w:rsidR="00A37622">
        <w:rPr>
          <w:rFonts w:ascii="Arial" w:hAnsi="Arial" w:cs="Arial"/>
          <w:sz w:val="24"/>
        </w:rPr>
        <w:t xml:space="preserve">en subsidio </w:t>
      </w:r>
      <w:r w:rsidR="0057452D">
        <w:rPr>
          <w:rFonts w:ascii="Arial" w:hAnsi="Arial" w:cs="Arial"/>
          <w:sz w:val="24"/>
        </w:rPr>
        <w:t>a</w:t>
      </w:r>
      <w:r w:rsidR="00A37622">
        <w:rPr>
          <w:rFonts w:ascii="Arial" w:hAnsi="Arial" w:cs="Arial"/>
          <w:sz w:val="24"/>
        </w:rPr>
        <w:t xml:space="preserve">pelación en los términos de la Ley 1437 de 2011, </w:t>
      </w:r>
      <w:r w:rsidR="006073C9">
        <w:rPr>
          <w:rFonts w:ascii="Arial" w:hAnsi="Arial" w:cs="Arial"/>
          <w:sz w:val="24"/>
        </w:rPr>
        <w:t>contra</w:t>
      </w:r>
      <w:r w:rsidR="00B17B60" w:rsidRPr="00B17B60">
        <w:rPr>
          <w:rFonts w:ascii="Arial" w:hAnsi="Arial" w:cs="Arial"/>
          <w:sz w:val="24"/>
        </w:rPr>
        <w:t xml:space="preserve"> </w:t>
      </w:r>
      <w:r w:rsidR="00D60B0E">
        <w:rPr>
          <w:rFonts w:ascii="Arial" w:hAnsi="Arial" w:cs="Arial"/>
          <w:sz w:val="24"/>
        </w:rPr>
        <w:t>el mencionado Auto Declarativo</w:t>
      </w:r>
      <w:r w:rsidR="004D01D0">
        <w:rPr>
          <w:rFonts w:ascii="Arial" w:hAnsi="Arial" w:cs="Arial"/>
          <w:sz w:val="24"/>
        </w:rPr>
        <w:t xml:space="preserve">. </w:t>
      </w:r>
    </w:p>
    <w:p w14:paraId="0C05C168" w14:textId="77777777" w:rsidR="00E10B43" w:rsidRDefault="00E10B43" w:rsidP="00E10B43">
      <w:pPr>
        <w:pStyle w:val="Cuadrculamedia21"/>
        <w:jc w:val="both"/>
        <w:rPr>
          <w:rFonts w:ascii="Arial" w:eastAsia="Times New Roman" w:hAnsi="Arial" w:cs="Arial"/>
          <w:lang w:val="es-CO" w:eastAsia="es-CO"/>
        </w:rPr>
      </w:pPr>
    </w:p>
    <w:p w14:paraId="53D96009" w14:textId="77777777" w:rsidR="00E10B43" w:rsidRPr="001C1DF0" w:rsidRDefault="00E10B43" w:rsidP="00E10B43">
      <w:pPr>
        <w:pStyle w:val="Cuadrculamedia21"/>
        <w:jc w:val="both"/>
        <w:rPr>
          <w:rFonts w:ascii="Arial" w:hAnsi="Arial" w:cs="Arial"/>
          <w:b/>
          <w:sz w:val="24"/>
          <w:szCs w:val="24"/>
          <w:lang w:val="es-MX"/>
        </w:rPr>
      </w:pPr>
      <w:r w:rsidRPr="001C1DF0">
        <w:rPr>
          <w:rFonts w:ascii="Arial" w:eastAsia="Times New Roman" w:hAnsi="Arial" w:cs="Arial"/>
          <w:sz w:val="24"/>
          <w:szCs w:val="24"/>
          <w:lang w:eastAsia="es-CO"/>
        </w:rPr>
        <w:t xml:space="preserve"> </w:t>
      </w:r>
      <w:r w:rsidRPr="001C1DF0">
        <w:rPr>
          <w:rFonts w:ascii="Arial" w:hAnsi="Arial" w:cs="Arial"/>
          <w:b/>
          <w:sz w:val="24"/>
          <w:szCs w:val="24"/>
          <w:lang w:val="es-MX"/>
        </w:rPr>
        <w:t>FUNDAMENTOS JURÍDICOS EN RELACIÓN CON LA PROCEDENCIA DEL RECURSO</w:t>
      </w:r>
    </w:p>
    <w:p w14:paraId="55462E62" w14:textId="77777777" w:rsidR="00E10B43" w:rsidRPr="001C1DF0" w:rsidRDefault="00E10B43" w:rsidP="00E10B43">
      <w:pPr>
        <w:pStyle w:val="Cuadrculamedia21"/>
        <w:jc w:val="both"/>
        <w:rPr>
          <w:rFonts w:ascii="Arial" w:hAnsi="Arial" w:cs="Arial"/>
          <w:b/>
          <w:sz w:val="24"/>
          <w:szCs w:val="24"/>
          <w:lang w:val="es-MX"/>
        </w:rPr>
      </w:pPr>
    </w:p>
    <w:p w14:paraId="006E3BC6" w14:textId="77777777" w:rsidR="00E10B43" w:rsidRPr="001C1DF0" w:rsidRDefault="00E10B43" w:rsidP="00E10B43">
      <w:pPr>
        <w:pStyle w:val="Cuadrculamedia21"/>
        <w:jc w:val="both"/>
        <w:rPr>
          <w:rFonts w:ascii="Arial" w:hAnsi="Arial" w:cs="Arial"/>
          <w:b/>
          <w:sz w:val="24"/>
          <w:szCs w:val="24"/>
          <w:lang w:val="es-MX"/>
        </w:rPr>
      </w:pPr>
      <w:r w:rsidRPr="001C1DF0">
        <w:rPr>
          <w:rFonts w:ascii="Arial" w:hAnsi="Arial" w:cs="Arial"/>
          <w:b/>
          <w:sz w:val="24"/>
          <w:szCs w:val="24"/>
          <w:lang w:val="es-MX"/>
        </w:rPr>
        <w:t>De la competencia de la Secretaría de Hacienda</w:t>
      </w:r>
    </w:p>
    <w:p w14:paraId="1FF7CA10" w14:textId="77777777" w:rsidR="00E10B43" w:rsidRPr="001C1DF0" w:rsidRDefault="00E10B43" w:rsidP="00E10B43">
      <w:pPr>
        <w:pStyle w:val="Cuadrculamedia21"/>
        <w:jc w:val="both"/>
        <w:rPr>
          <w:rFonts w:ascii="Arial" w:hAnsi="Arial" w:cs="Arial"/>
          <w:sz w:val="24"/>
          <w:szCs w:val="24"/>
          <w:lang w:val="es-MX"/>
        </w:rPr>
      </w:pPr>
    </w:p>
    <w:p w14:paraId="000F84F6" w14:textId="77777777" w:rsidR="00E10B43" w:rsidRPr="001C1DF0" w:rsidRDefault="00E10B43" w:rsidP="00E10B43">
      <w:pPr>
        <w:pStyle w:val="Cuadrculamedia21"/>
        <w:jc w:val="both"/>
        <w:rPr>
          <w:rFonts w:ascii="Arial" w:hAnsi="Arial" w:cs="Arial"/>
          <w:sz w:val="24"/>
          <w:szCs w:val="24"/>
          <w:lang w:val="es-MX"/>
        </w:rPr>
      </w:pPr>
      <w:r w:rsidRPr="001C1DF0">
        <w:rPr>
          <w:rFonts w:ascii="Arial" w:hAnsi="Arial" w:cs="Arial"/>
          <w:sz w:val="24"/>
          <w:szCs w:val="24"/>
          <w:lang w:val="es-MX"/>
        </w:rPr>
        <w:t xml:space="preserve">Que de conformidad con lo dispuesto en el Artículo 74 de la Ley 1437 de 2011 –Código de Procedimiento Administrativo y de lo Contencioso Administrativo.-, es competente la </w:t>
      </w:r>
      <w:r w:rsidR="00AD0E5E">
        <w:rPr>
          <w:rFonts w:ascii="Arial" w:hAnsi="Arial" w:cs="Arial"/>
          <w:sz w:val="24"/>
          <w:szCs w:val="24"/>
          <w:lang w:val="es-MX"/>
        </w:rPr>
        <w:t xml:space="preserve">Oficina de Fiscalización, Control y Cobro Persuasivo, </w:t>
      </w:r>
      <w:r w:rsidRPr="001C1DF0">
        <w:rPr>
          <w:rFonts w:ascii="Arial" w:hAnsi="Arial" w:cs="Arial"/>
          <w:sz w:val="24"/>
          <w:szCs w:val="24"/>
          <w:lang w:val="es-MX"/>
        </w:rPr>
        <w:t xml:space="preserve">para conocer del Recurso de </w:t>
      </w:r>
      <w:r w:rsidR="00AD0E5E">
        <w:rPr>
          <w:rFonts w:ascii="Arial" w:hAnsi="Arial" w:cs="Arial"/>
          <w:sz w:val="24"/>
          <w:szCs w:val="24"/>
          <w:lang w:val="es-MX"/>
        </w:rPr>
        <w:t>Reposición</w:t>
      </w:r>
      <w:r w:rsidRPr="001C1DF0">
        <w:rPr>
          <w:rFonts w:ascii="Arial" w:hAnsi="Arial" w:cs="Arial"/>
          <w:sz w:val="24"/>
          <w:szCs w:val="24"/>
          <w:lang w:val="es-MX"/>
        </w:rPr>
        <w:t>.</w:t>
      </w:r>
    </w:p>
    <w:p w14:paraId="6E6C725F" w14:textId="77777777" w:rsidR="00E10B43" w:rsidRPr="001C1DF0" w:rsidRDefault="00E10B43" w:rsidP="00E10B43">
      <w:pPr>
        <w:pStyle w:val="Cuadrculamedia21"/>
        <w:jc w:val="both"/>
        <w:rPr>
          <w:rFonts w:ascii="Arial" w:hAnsi="Arial" w:cs="Arial"/>
          <w:sz w:val="24"/>
          <w:szCs w:val="24"/>
          <w:lang w:val="es-MX"/>
        </w:rPr>
      </w:pPr>
    </w:p>
    <w:p w14:paraId="516C9405" w14:textId="77777777" w:rsidR="00E10B43" w:rsidRPr="001C1DF0" w:rsidRDefault="00E10B43" w:rsidP="00E10B43">
      <w:pPr>
        <w:pStyle w:val="Cuadrculamedia21"/>
        <w:jc w:val="both"/>
        <w:rPr>
          <w:rFonts w:ascii="Arial" w:hAnsi="Arial" w:cs="Arial"/>
          <w:b/>
          <w:sz w:val="24"/>
          <w:szCs w:val="24"/>
          <w:lang w:val="es-MX"/>
        </w:rPr>
      </w:pPr>
      <w:r w:rsidRPr="001C1DF0">
        <w:rPr>
          <w:rFonts w:ascii="Arial" w:hAnsi="Arial" w:cs="Arial"/>
          <w:b/>
          <w:sz w:val="24"/>
          <w:szCs w:val="24"/>
          <w:lang w:val="es-MX"/>
        </w:rPr>
        <w:t>Facultades de la Administración en la actuación administrativa.</w:t>
      </w:r>
    </w:p>
    <w:p w14:paraId="4D776A18" w14:textId="77777777" w:rsidR="00E10B43" w:rsidRPr="001C1DF0" w:rsidRDefault="00E10B43" w:rsidP="00E10B43">
      <w:pPr>
        <w:pStyle w:val="Cuadrculamedia21"/>
        <w:jc w:val="both"/>
        <w:rPr>
          <w:rFonts w:ascii="Arial" w:hAnsi="Arial" w:cs="Arial"/>
          <w:sz w:val="24"/>
          <w:szCs w:val="24"/>
          <w:lang w:val="es-MX"/>
        </w:rPr>
      </w:pPr>
    </w:p>
    <w:p w14:paraId="792DF23B" w14:textId="542BAA3F" w:rsidR="00E10B43" w:rsidRPr="001C1DF0" w:rsidRDefault="00E10B43" w:rsidP="00E10B43">
      <w:pPr>
        <w:autoSpaceDE w:val="0"/>
        <w:autoSpaceDN w:val="0"/>
        <w:adjustRightInd w:val="0"/>
        <w:spacing w:after="0" w:line="240" w:lineRule="auto"/>
        <w:jc w:val="both"/>
        <w:rPr>
          <w:rFonts w:ascii="Arial" w:hAnsi="Arial" w:cs="Arial"/>
          <w:sz w:val="24"/>
          <w:szCs w:val="24"/>
        </w:rPr>
      </w:pPr>
      <w:r w:rsidRPr="001C1DF0">
        <w:rPr>
          <w:rFonts w:ascii="Arial" w:hAnsi="Arial" w:cs="Arial"/>
          <w:sz w:val="24"/>
          <w:szCs w:val="24"/>
        </w:rPr>
        <w:t xml:space="preserve">El procedimiento para el agotamiento de la </w:t>
      </w:r>
      <w:r w:rsidRPr="006E4B40">
        <w:rPr>
          <w:rFonts w:ascii="Arial" w:hAnsi="Arial" w:cs="Arial"/>
          <w:sz w:val="24"/>
          <w:szCs w:val="24"/>
          <w:lang w:val="es-MX"/>
        </w:rPr>
        <w:t>actuación administrativa</w:t>
      </w:r>
      <w:r w:rsidRPr="001C1DF0">
        <w:rPr>
          <w:rFonts w:ascii="Arial" w:hAnsi="Arial" w:cs="Arial"/>
          <w:sz w:val="24"/>
          <w:szCs w:val="24"/>
        </w:rPr>
        <w:t xml:space="preserve"> frente a</w:t>
      </w:r>
      <w:r w:rsidRPr="001C1DF0">
        <w:rPr>
          <w:rFonts w:ascii="Arial" w:hAnsi="Arial" w:cs="Arial"/>
          <w:iCs/>
          <w:sz w:val="24"/>
          <w:szCs w:val="24"/>
        </w:rPr>
        <w:t>l acto previo que declara com</w:t>
      </w:r>
      <w:r w:rsidRPr="001C1DF0">
        <w:rPr>
          <w:rFonts w:ascii="Arial" w:hAnsi="Arial" w:cs="Arial"/>
          <w:sz w:val="24"/>
          <w:szCs w:val="24"/>
        </w:rPr>
        <w:t>o no presentada una declaración tributaria</w:t>
      </w:r>
      <w:r w:rsidR="0057452D">
        <w:rPr>
          <w:rFonts w:ascii="Arial" w:hAnsi="Arial" w:cs="Arial"/>
          <w:sz w:val="24"/>
          <w:szCs w:val="24"/>
        </w:rPr>
        <w:t>,</w:t>
      </w:r>
      <w:r w:rsidRPr="001C1DF0">
        <w:rPr>
          <w:rFonts w:ascii="Arial" w:hAnsi="Arial" w:cs="Arial"/>
          <w:sz w:val="24"/>
          <w:szCs w:val="24"/>
        </w:rPr>
        <w:t xml:space="preserve"> </w:t>
      </w:r>
      <w:r w:rsidR="004D01D0">
        <w:rPr>
          <w:rFonts w:ascii="Arial" w:hAnsi="Arial" w:cs="Arial"/>
          <w:sz w:val="24"/>
          <w:szCs w:val="24"/>
        </w:rPr>
        <w:t>está</w:t>
      </w:r>
      <w:r w:rsidRPr="001C1DF0">
        <w:rPr>
          <w:rFonts w:ascii="Arial" w:hAnsi="Arial" w:cs="Arial"/>
          <w:sz w:val="24"/>
          <w:szCs w:val="24"/>
        </w:rPr>
        <w:t xml:space="preserve"> reglado en el </w:t>
      </w:r>
      <w:r w:rsidR="00310437">
        <w:rPr>
          <w:rFonts w:ascii="Arial" w:hAnsi="Arial" w:cs="Arial"/>
          <w:sz w:val="24"/>
          <w:szCs w:val="24"/>
        </w:rPr>
        <w:t>artículo 312</w:t>
      </w:r>
      <w:r w:rsidR="00AD0E5E">
        <w:rPr>
          <w:rFonts w:ascii="Arial" w:hAnsi="Arial" w:cs="Arial"/>
          <w:sz w:val="24"/>
          <w:szCs w:val="24"/>
        </w:rPr>
        <w:t xml:space="preserve"> del </w:t>
      </w:r>
      <w:r w:rsidR="00AD0E5E" w:rsidRPr="00AD0E5E">
        <w:rPr>
          <w:rFonts w:ascii="Arial" w:hAnsi="Arial" w:cs="Arial"/>
          <w:sz w:val="24"/>
          <w:szCs w:val="24"/>
        </w:rPr>
        <w:t xml:space="preserve">Estatuto Tributario Municipal </w:t>
      </w:r>
      <w:r w:rsidR="00310437">
        <w:rPr>
          <w:rFonts w:ascii="Arial" w:hAnsi="Arial" w:cs="Arial"/>
          <w:sz w:val="24"/>
          <w:szCs w:val="24"/>
        </w:rPr>
        <w:t>Acuerdo N° 023 de 2021</w:t>
      </w:r>
      <w:r w:rsidRPr="001C1DF0">
        <w:rPr>
          <w:rFonts w:ascii="Arial" w:hAnsi="Arial" w:cs="Arial"/>
          <w:sz w:val="24"/>
          <w:szCs w:val="24"/>
        </w:rPr>
        <w:t xml:space="preserve">, </w:t>
      </w:r>
      <w:r w:rsidR="00AD0E5E">
        <w:rPr>
          <w:rFonts w:ascii="Arial" w:hAnsi="Arial" w:cs="Arial"/>
          <w:sz w:val="24"/>
          <w:szCs w:val="24"/>
        </w:rPr>
        <w:t xml:space="preserve">que al </w:t>
      </w:r>
      <w:r w:rsidRPr="001C1DF0">
        <w:rPr>
          <w:rFonts w:ascii="Arial" w:hAnsi="Arial" w:cs="Arial"/>
          <w:sz w:val="24"/>
          <w:szCs w:val="24"/>
        </w:rPr>
        <w:t>respecto dispone:</w:t>
      </w:r>
    </w:p>
    <w:p w14:paraId="72B2C7A1" w14:textId="77777777" w:rsidR="00E10B43" w:rsidRPr="001C1DF0" w:rsidRDefault="00E10B43" w:rsidP="00E10B43">
      <w:pPr>
        <w:autoSpaceDE w:val="0"/>
        <w:autoSpaceDN w:val="0"/>
        <w:adjustRightInd w:val="0"/>
        <w:spacing w:after="0"/>
        <w:jc w:val="both"/>
        <w:rPr>
          <w:rFonts w:ascii="Arial" w:hAnsi="Arial" w:cs="Arial"/>
        </w:rPr>
      </w:pPr>
    </w:p>
    <w:p w14:paraId="4FA1519D" w14:textId="77777777" w:rsidR="00310437" w:rsidRPr="00310437" w:rsidRDefault="00310437" w:rsidP="0057452D">
      <w:pPr>
        <w:pStyle w:val="Descripcin"/>
        <w:spacing w:after="0"/>
        <w:ind w:left="170"/>
        <w:rPr>
          <w:rFonts w:ascii="Arial" w:eastAsia="Calibri" w:hAnsi="Arial" w:cs="Arial"/>
          <w:b/>
          <w:iCs w:val="0"/>
          <w:color w:val="auto"/>
          <w:sz w:val="22"/>
          <w:szCs w:val="22"/>
        </w:rPr>
      </w:pPr>
      <w:r w:rsidRPr="00310437">
        <w:rPr>
          <w:rFonts w:ascii="Arial" w:eastAsia="Calibri" w:hAnsi="Arial" w:cs="Arial"/>
          <w:b/>
          <w:iCs w:val="0"/>
          <w:color w:val="auto"/>
          <w:sz w:val="22"/>
          <w:szCs w:val="22"/>
        </w:rPr>
        <w:t xml:space="preserve">ARTÍCULO </w:t>
      </w:r>
      <w:r w:rsidRPr="00310437">
        <w:rPr>
          <w:rFonts w:ascii="Arial" w:eastAsia="Calibri" w:hAnsi="Arial" w:cs="Arial"/>
          <w:b/>
          <w:iCs w:val="0"/>
          <w:color w:val="auto"/>
          <w:sz w:val="22"/>
          <w:szCs w:val="22"/>
        </w:rPr>
        <w:fldChar w:fldCharType="begin"/>
      </w:r>
      <w:r w:rsidRPr="00310437">
        <w:rPr>
          <w:rFonts w:ascii="Arial" w:eastAsia="Calibri" w:hAnsi="Arial" w:cs="Arial"/>
          <w:b/>
          <w:iCs w:val="0"/>
          <w:color w:val="auto"/>
          <w:sz w:val="22"/>
          <w:szCs w:val="22"/>
        </w:rPr>
        <w:instrText xml:space="preserve"> SEQ ARTÍCULO \* ARABIC </w:instrText>
      </w:r>
      <w:r w:rsidRPr="00310437">
        <w:rPr>
          <w:rFonts w:ascii="Arial" w:eastAsia="Calibri" w:hAnsi="Arial" w:cs="Arial"/>
          <w:b/>
          <w:iCs w:val="0"/>
          <w:color w:val="auto"/>
          <w:sz w:val="22"/>
          <w:szCs w:val="22"/>
        </w:rPr>
        <w:fldChar w:fldCharType="separate"/>
      </w:r>
      <w:r w:rsidRPr="00310437">
        <w:rPr>
          <w:rFonts w:ascii="Arial" w:eastAsia="Calibri" w:hAnsi="Arial" w:cs="Arial"/>
          <w:b/>
          <w:iCs w:val="0"/>
          <w:color w:val="auto"/>
          <w:sz w:val="22"/>
          <w:szCs w:val="22"/>
        </w:rPr>
        <w:t>312</w:t>
      </w:r>
      <w:r w:rsidRPr="00310437">
        <w:rPr>
          <w:rFonts w:ascii="Arial" w:eastAsia="Calibri" w:hAnsi="Arial" w:cs="Arial"/>
          <w:b/>
          <w:iCs w:val="0"/>
          <w:color w:val="auto"/>
          <w:sz w:val="22"/>
          <w:szCs w:val="22"/>
        </w:rPr>
        <w:fldChar w:fldCharType="end"/>
      </w:r>
      <w:r w:rsidRPr="00310437">
        <w:rPr>
          <w:rFonts w:ascii="Arial" w:eastAsia="Calibri" w:hAnsi="Arial" w:cs="Arial"/>
          <w:b/>
          <w:iCs w:val="0"/>
          <w:color w:val="auto"/>
          <w:sz w:val="22"/>
          <w:szCs w:val="22"/>
        </w:rPr>
        <w:t>. AUTO DECLARATIVO.</w:t>
      </w:r>
    </w:p>
    <w:p w14:paraId="7AC4E40D" w14:textId="77777777" w:rsidR="00310437" w:rsidRDefault="00310437" w:rsidP="0057452D">
      <w:pPr>
        <w:autoSpaceDE w:val="0"/>
        <w:autoSpaceDN w:val="0"/>
        <w:adjustRightInd w:val="0"/>
        <w:spacing w:after="0" w:line="240" w:lineRule="auto"/>
        <w:ind w:left="170"/>
        <w:jc w:val="both"/>
        <w:rPr>
          <w:rFonts w:ascii="Arial" w:hAnsi="Arial" w:cs="Arial"/>
          <w:i/>
        </w:rPr>
      </w:pPr>
    </w:p>
    <w:p w14:paraId="6E6DB5C4" w14:textId="77777777" w:rsidR="00310437" w:rsidRPr="00310437" w:rsidRDefault="00310437" w:rsidP="0057452D">
      <w:pPr>
        <w:pStyle w:val="Cuadrculamedia21"/>
        <w:ind w:left="170"/>
        <w:jc w:val="both"/>
        <w:rPr>
          <w:rFonts w:ascii="Arial" w:hAnsi="Arial" w:cs="Arial"/>
          <w:i/>
          <w:lang w:val="es-CO"/>
        </w:rPr>
      </w:pPr>
      <w:r w:rsidRPr="00310437">
        <w:rPr>
          <w:rFonts w:ascii="Arial" w:hAnsi="Arial" w:cs="Arial"/>
          <w:i/>
          <w:lang w:val="es-CO"/>
        </w:rPr>
        <w:t>(…)</w:t>
      </w:r>
    </w:p>
    <w:p w14:paraId="01E3018A" w14:textId="77777777" w:rsidR="00310437" w:rsidRPr="00310437" w:rsidRDefault="00310437" w:rsidP="0057452D">
      <w:pPr>
        <w:pStyle w:val="Cuadrculamedia21"/>
        <w:ind w:left="170"/>
        <w:jc w:val="both"/>
        <w:rPr>
          <w:rFonts w:ascii="Arial" w:hAnsi="Arial" w:cs="Arial"/>
          <w:i/>
          <w:lang w:val="es-CO"/>
        </w:rPr>
      </w:pPr>
    </w:p>
    <w:p w14:paraId="7CBEBCCF" w14:textId="77777777" w:rsidR="00310437" w:rsidRPr="00310437" w:rsidRDefault="00310437" w:rsidP="0057452D">
      <w:pPr>
        <w:pStyle w:val="Cuadrculamedia21"/>
        <w:ind w:left="170"/>
        <w:jc w:val="both"/>
        <w:rPr>
          <w:rFonts w:ascii="Arial" w:hAnsi="Arial" w:cs="Arial"/>
          <w:i/>
          <w:lang w:val="es-CO"/>
        </w:rPr>
      </w:pPr>
      <w:r w:rsidRPr="00310437">
        <w:rPr>
          <w:rFonts w:ascii="Arial" w:hAnsi="Arial" w:cs="Arial"/>
          <w:i/>
          <w:lang w:val="es-CO"/>
        </w:rPr>
        <w:t xml:space="preserve">Contra el auto declarativo que da por no presentada la declaración procede el recurso de reposición y en subsidio el de apelación. </w:t>
      </w:r>
    </w:p>
    <w:p w14:paraId="3C5E3B73" w14:textId="77777777" w:rsidR="00310437" w:rsidRDefault="00310437" w:rsidP="00B724CC">
      <w:pPr>
        <w:pStyle w:val="Cuadrculamedia21"/>
        <w:jc w:val="both"/>
        <w:rPr>
          <w:rFonts w:ascii="Arial" w:hAnsi="Arial" w:cs="Arial"/>
          <w:lang w:val="es-MX"/>
        </w:rPr>
      </w:pPr>
    </w:p>
    <w:p w14:paraId="061B8B10" w14:textId="77777777" w:rsidR="00310437" w:rsidRDefault="00310437" w:rsidP="00B724CC">
      <w:pPr>
        <w:pStyle w:val="Cuadrculamedia21"/>
        <w:jc w:val="both"/>
        <w:rPr>
          <w:rFonts w:ascii="Arial" w:hAnsi="Arial" w:cs="Arial"/>
          <w:lang w:val="es-MX"/>
        </w:rPr>
      </w:pPr>
    </w:p>
    <w:p w14:paraId="69B2A7F2" w14:textId="77777777" w:rsidR="00310437" w:rsidRPr="001C1DF0" w:rsidRDefault="00310437" w:rsidP="00B724CC">
      <w:pPr>
        <w:pStyle w:val="Cuadrculamedia21"/>
        <w:jc w:val="both"/>
        <w:rPr>
          <w:rFonts w:ascii="Arial" w:hAnsi="Arial" w:cs="Arial"/>
          <w:lang w:val="es-MX"/>
        </w:rPr>
      </w:pPr>
    </w:p>
    <w:p w14:paraId="4DF83D3B" w14:textId="77777777" w:rsidR="00EA0A68" w:rsidRDefault="00EA0A68" w:rsidP="00E10B43">
      <w:pPr>
        <w:pStyle w:val="Cuadrculamedia21"/>
        <w:ind w:left="708"/>
        <w:jc w:val="both"/>
        <w:rPr>
          <w:rFonts w:ascii="Arial" w:hAnsi="Arial" w:cs="Arial"/>
          <w:i/>
        </w:rPr>
      </w:pPr>
    </w:p>
    <w:p w14:paraId="4751E8F5" w14:textId="77777777" w:rsidR="00E10B43" w:rsidRPr="001C1DF0" w:rsidRDefault="00E10B43" w:rsidP="00E10B43">
      <w:pPr>
        <w:pStyle w:val="Cuadrculamedia21"/>
        <w:jc w:val="both"/>
        <w:rPr>
          <w:rFonts w:ascii="Arial" w:hAnsi="Arial" w:cs="Arial"/>
          <w:sz w:val="24"/>
          <w:szCs w:val="20"/>
        </w:rPr>
      </w:pPr>
      <w:r w:rsidRPr="001C1DF0">
        <w:rPr>
          <w:rFonts w:ascii="Arial" w:hAnsi="Arial" w:cs="Arial"/>
          <w:sz w:val="24"/>
          <w:szCs w:val="20"/>
        </w:rPr>
        <w:lastRenderedPageBreak/>
        <w:t xml:space="preserve">Respecto al recurso de </w:t>
      </w:r>
      <w:r w:rsidR="0084756E">
        <w:rPr>
          <w:rFonts w:ascii="Arial" w:hAnsi="Arial" w:cs="Arial"/>
          <w:sz w:val="24"/>
          <w:szCs w:val="20"/>
        </w:rPr>
        <w:t>reposición</w:t>
      </w:r>
      <w:r w:rsidRPr="001C1DF0">
        <w:rPr>
          <w:rFonts w:ascii="Arial" w:hAnsi="Arial" w:cs="Arial"/>
          <w:sz w:val="24"/>
          <w:szCs w:val="20"/>
        </w:rPr>
        <w:t xml:space="preserve"> la ley 1437 de 2011 en su Artículo 74 dispone:</w:t>
      </w:r>
    </w:p>
    <w:p w14:paraId="2C62E7C1" w14:textId="77777777" w:rsidR="00E10B43" w:rsidRDefault="00E10B43" w:rsidP="00E10B43">
      <w:pPr>
        <w:pStyle w:val="Cuadrculamedia21"/>
        <w:ind w:left="708"/>
        <w:jc w:val="both"/>
        <w:rPr>
          <w:rFonts w:ascii="Arial" w:hAnsi="Arial" w:cs="Arial"/>
          <w:i/>
          <w:sz w:val="20"/>
          <w:szCs w:val="20"/>
        </w:rPr>
      </w:pPr>
      <w:r>
        <w:rPr>
          <w:rFonts w:ascii="Arial" w:hAnsi="Arial" w:cs="Arial"/>
          <w:i/>
          <w:sz w:val="20"/>
          <w:szCs w:val="20"/>
        </w:rPr>
        <w:t xml:space="preserve"> </w:t>
      </w:r>
    </w:p>
    <w:p w14:paraId="6961AE67" w14:textId="77777777" w:rsidR="00E10B43" w:rsidRPr="001C1DF0" w:rsidRDefault="00E10B43" w:rsidP="0057452D">
      <w:pPr>
        <w:pStyle w:val="NormalWeb"/>
        <w:shd w:val="clear" w:color="auto" w:fill="FFFFFF"/>
        <w:spacing w:before="0" w:beforeAutospacing="0" w:after="0" w:afterAutospacing="0"/>
        <w:ind w:left="170"/>
        <w:jc w:val="both"/>
        <w:textAlignment w:val="baseline"/>
        <w:rPr>
          <w:rFonts w:ascii="Arial" w:eastAsia="Calibri" w:hAnsi="Arial" w:cs="Arial"/>
          <w:i/>
          <w:sz w:val="22"/>
          <w:szCs w:val="20"/>
          <w:lang w:val="es-ES" w:eastAsia="en-US"/>
        </w:rPr>
      </w:pPr>
      <w:r w:rsidRPr="001C1DF0">
        <w:rPr>
          <w:rStyle w:val="Textoennegrita"/>
          <w:rFonts w:ascii="Arial" w:hAnsi="Arial" w:cs="Arial"/>
          <w:i/>
          <w:color w:val="000000"/>
          <w:sz w:val="22"/>
          <w:szCs w:val="20"/>
          <w:bdr w:val="none" w:sz="0" w:space="0" w:color="auto" w:frame="1"/>
        </w:rPr>
        <w:t>“Artículo 74.</w:t>
      </w:r>
      <w:r w:rsidRPr="001C1DF0">
        <w:rPr>
          <w:rStyle w:val="apple-converted-space"/>
          <w:rFonts w:ascii="Arial" w:hAnsi="Arial" w:cs="Arial"/>
          <w:b/>
          <w:bCs/>
          <w:i/>
          <w:color w:val="000000"/>
          <w:sz w:val="22"/>
          <w:szCs w:val="20"/>
          <w:bdr w:val="none" w:sz="0" w:space="0" w:color="auto" w:frame="1"/>
        </w:rPr>
        <w:t> </w:t>
      </w:r>
      <w:r w:rsidRPr="001C1DF0">
        <w:rPr>
          <w:rFonts w:ascii="Arial" w:eastAsia="Calibri" w:hAnsi="Arial" w:cs="Arial"/>
          <w:i/>
          <w:sz w:val="22"/>
          <w:szCs w:val="20"/>
          <w:lang w:val="es-ES" w:eastAsia="en-US"/>
        </w:rPr>
        <w:t>Recursos contra los actos administrativos. Por regla general, contra los actos definitivos procederán los siguientes recursos: </w:t>
      </w:r>
    </w:p>
    <w:p w14:paraId="636C96B5" w14:textId="77777777" w:rsidR="00E10B43" w:rsidRPr="001C1DF0" w:rsidRDefault="00E10B43" w:rsidP="0057452D">
      <w:pPr>
        <w:pStyle w:val="NormalWeb"/>
        <w:shd w:val="clear" w:color="auto" w:fill="FFFFFF"/>
        <w:spacing w:before="0" w:beforeAutospacing="0" w:after="0" w:afterAutospacing="0"/>
        <w:ind w:left="170"/>
        <w:jc w:val="both"/>
        <w:textAlignment w:val="baseline"/>
        <w:rPr>
          <w:rFonts w:ascii="Arial" w:eastAsia="Calibri" w:hAnsi="Arial" w:cs="Arial"/>
          <w:i/>
          <w:sz w:val="22"/>
          <w:szCs w:val="20"/>
          <w:lang w:val="es-ES" w:eastAsia="en-US"/>
        </w:rPr>
      </w:pPr>
    </w:p>
    <w:p w14:paraId="57DE902B" w14:textId="77777777" w:rsidR="00E10B43" w:rsidRDefault="00FA78BD" w:rsidP="0057452D">
      <w:pPr>
        <w:pStyle w:val="NormalWeb"/>
        <w:shd w:val="clear" w:color="auto" w:fill="FFFFFF"/>
        <w:spacing w:before="0" w:beforeAutospacing="0" w:after="0" w:afterAutospacing="0"/>
        <w:ind w:left="170"/>
        <w:jc w:val="both"/>
        <w:textAlignment w:val="baseline"/>
        <w:rPr>
          <w:rFonts w:ascii="Arial" w:eastAsia="Calibri" w:hAnsi="Arial" w:cs="Arial"/>
          <w:i/>
          <w:sz w:val="22"/>
          <w:szCs w:val="20"/>
          <w:lang w:val="es-ES" w:eastAsia="en-US"/>
        </w:rPr>
      </w:pPr>
      <w:r w:rsidRPr="00FA78BD">
        <w:rPr>
          <w:rFonts w:ascii="Arial" w:eastAsia="Calibri" w:hAnsi="Arial" w:cs="Arial"/>
          <w:i/>
          <w:sz w:val="22"/>
          <w:szCs w:val="20"/>
          <w:lang w:val="es-ES" w:eastAsia="en-US"/>
        </w:rPr>
        <w:t>1. El de reposición, ante quien expidió la decisión para que la aclare, modifique, adicione o revoque.</w:t>
      </w:r>
      <w:r w:rsidR="00B0671F">
        <w:rPr>
          <w:rFonts w:ascii="Arial" w:eastAsia="Calibri" w:hAnsi="Arial" w:cs="Arial"/>
          <w:i/>
          <w:sz w:val="22"/>
          <w:szCs w:val="20"/>
          <w:lang w:val="es-ES" w:eastAsia="en-US"/>
        </w:rPr>
        <w:t>(…)</w:t>
      </w:r>
    </w:p>
    <w:p w14:paraId="104DA97A" w14:textId="77777777" w:rsidR="00E10B43" w:rsidRPr="00D1516F" w:rsidRDefault="00E10B43" w:rsidP="00E10B43">
      <w:pPr>
        <w:pStyle w:val="Cuadrculamedia21"/>
        <w:ind w:left="708"/>
        <w:jc w:val="both"/>
        <w:rPr>
          <w:rFonts w:ascii="Arial" w:hAnsi="Arial" w:cs="Arial"/>
          <w:i/>
        </w:rPr>
      </w:pPr>
    </w:p>
    <w:p w14:paraId="0E6B575C" w14:textId="77777777" w:rsidR="00E10B43" w:rsidRPr="001C1DF0" w:rsidRDefault="00E10B43" w:rsidP="00E10B43">
      <w:pPr>
        <w:pStyle w:val="Default"/>
        <w:jc w:val="both"/>
        <w:rPr>
          <w:rFonts w:ascii="Arial" w:hAnsi="Arial" w:cs="Arial"/>
          <w:szCs w:val="22"/>
        </w:rPr>
      </w:pPr>
      <w:r w:rsidRPr="001C1DF0">
        <w:rPr>
          <w:rFonts w:ascii="Arial" w:hAnsi="Arial" w:cs="Arial"/>
          <w:szCs w:val="22"/>
        </w:rPr>
        <w:t xml:space="preserve">Añade el Artículo 76 ibídem, sobre la OPORTUNIDAD Y PRESENTACIÓN del recurso de apelación: </w:t>
      </w:r>
    </w:p>
    <w:p w14:paraId="47031413" w14:textId="77777777" w:rsidR="00E10B43" w:rsidRPr="001C1DF0" w:rsidRDefault="00E10B43" w:rsidP="00E10B43">
      <w:pPr>
        <w:pStyle w:val="Default"/>
        <w:ind w:left="708"/>
        <w:jc w:val="both"/>
        <w:rPr>
          <w:rFonts w:ascii="Arial" w:hAnsi="Arial" w:cs="Arial"/>
          <w:szCs w:val="22"/>
        </w:rPr>
      </w:pPr>
    </w:p>
    <w:p w14:paraId="5C260AD2" w14:textId="77777777" w:rsidR="00E10B43" w:rsidRPr="001C1DF0" w:rsidRDefault="00E10B43" w:rsidP="00475308">
      <w:pPr>
        <w:pStyle w:val="Cuadrculamedia21"/>
        <w:ind w:left="340"/>
        <w:jc w:val="both"/>
        <w:rPr>
          <w:rFonts w:ascii="Arial" w:hAnsi="Arial" w:cs="Arial"/>
          <w:i/>
          <w:szCs w:val="20"/>
          <w:lang w:val="es-CO"/>
        </w:rPr>
      </w:pPr>
      <w:r w:rsidRPr="001C1DF0">
        <w:rPr>
          <w:rFonts w:ascii="Arial" w:hAnsi="Arial" w:cs="Arial"/>
          <w:i/>
          <w:szCs w:val="20"/>
        </w:rPr>
        <w:t>“</w:t>
      </w:r>
      <w:r w:rsidRPr="001C1DF0">
        <w:rPr>
          <w:rFonts w:ascii="Arial" w:hAnsi="Arial" w:cs="Arial"/>
          <w:b/>
          <w:bCs/>
          <w:i/>
          <w:szCs w:val="20"/>
          <w:lang w:val="es-CO"/>
        </w:rPr>
        <w:t>Artículo 76. </w:t>
      </w:r>
      <w:r w:rsidRPr="001C1DF0">
        <w:rPr>
          <w:rFonts w:ascii="Arial" w:hAnsi="Arial" w:cs="Arial"/>
          <w:i/>
          <w:szCs w:val="20"/>
          <w:lang w:val="es-CO"/>
        </w:rPr>
        <w:t>Oportunidad y presentación. 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 </w:t>
      </w:r>
    </w:p>
    <w:p w14:paraId="3A7A0609" w14:textId="77777777" w:rsidR="00E10B43" w:rsidRPr="001C1DF0" w:rsidRDefault="00E10B43" w:rsidP="00475308">
      <w:pPr>
        <w:pStyle w:val="Cuadrculamedia21"/>
        <w:ind w:left="340"/>
        <w:jc w:val="both"/>
        <w:rPr>
          <w:rFonts w:ascii="Arial" w:hAnsi="Arial" w:cs="Arial"/>
          <w:i/>
          <w:szCs w:val="20"/>
          <w:lang w:val="es-CO"/>
        </w:rPr>
      </w:pPr>
    </w:p>
    <w:p w14:paraId="764668C0" w14:textId="77777777" w:rsidR="00E10B43" w:rsidRPr="001C1DF0" w:rsidRDefault="00E10B43" w:rsidP="00475308">
      <w:pPr>
        <w:pStyle w:val="Cuadrculamedia21"/>
        <w:ind w:left="340"/>
        <w:jc w:val="both"/>
        <w:rPr>
          <w:rFonts w:ascii="Arial" w:hAnsi="Arial" w:cs="Arial"/>
          <w:i/>
          <w:szCs w:val="20"/>
          <w:lang w:val="es-CO"/>
        </w:rPr>
      </w:pPr>
      <w:r w:rsidRPr="001C1DF0">
        <w:rPr>
          <w:rFonts w:ascii="Arial" w:hAnsi="Arial" w:cs="Arial"/>
          <w:i/>
          <w:szCs w:val="20"/>
          <w:lang w:val="es-CO"/>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 </w:t>
      </w:r>
    </w:p>
    <w:p w14:paraId="062D73A8" w14:textId="77777777" w:rsidR="00E10B43" w:rsidRPr="001C1DF0" w:rsidRDefault="00E10B43" w:rsidP="00475308">
      <w:pPr>
        <w:pStyle w:val="Cuadrculamedia21"/>
        <w:ind w:left="340"/>
        <w:jc w:val="both"/>
        <w:rPr>
          <w:rFonts w:ascii="Arial" w:hAnsi="Arial" w:cs="Arial"/>
          <w:i/>
          <w:szCs w:val="20"/>
          <w:lang w:val="es-CO"/>
        </w:rPr>
      </w:pPr>
    </w:p>
    <w:p w14:paraId="18BAA8B5" w14:textId="77777777" w:rsidR="00E10B43" w:rsidRPr="001C1DF0" w:rsidRDefault="00E10B43" w:rsidP="00475308">
      <w:pPr>
        <w:pStyle w:val="Cuadrculamedia21"/>
        <w:ind w:left="340"/>
        <w:jc w:val="both"/>
        <w:rPr>
          <w:rFonts w:ascii="Arial" w:hAnsi="Arial" w:cs="Arial"/>
          <w:i/>
          <w:szCs w:val="20"/>
          <w:lang w:val="es-CO"/>
        </w:rPr>
      </w:pPr>
      <w:r w:rsidRPr="001C1DF0">
        <w:rPr>
          <w:rFonts w:ascii="Arial" w:hAnsi="Arial" w:cs="Arial"/>
          <w:i/>
          <w:szCs w:val="20"/>
          <w:lang w:val="es-CO"/>
        </w:rPr>
        <w:t>El recurso de apelación podrá interponerse directamente, o como subsidiario del de reposición y cuando proceda será obligatorio para acceder a la jurisdicción. </w:t>
      </w:r>
    </w:p>
    <w:p w14:paraId="4BE6F5D4" w14:textId="77777777" w:rsidR="00E10B43" w:rsidRPr="001C1DF0" w:rsidRDefault="00E10B43" w:rsidP="00475308">
      <w:pPr>
        <w:pStyle w:val="Cuadrculamedia21"/>
        <w:ind w:left="340"/>
        <w:jc w:val="both"/>
        <w:rPr>
          <w:rFonts w:ascii="Arial" w:hAnsi="Arial" w:cs="Arial"/>
          <w:i/>
          <w:szCs w:val="20"/>
          <w:lang w:val="es-CO"/>
        </w:rPr>
      </w:pPr>
    </w:p>
    <w:p w14:paraId="7671AA31" w14:textId="77777777" w:rsidR="00E10B43" w:rsidRPr="001C1DF0" w:rsidRDefault="00E10B43" w:rsidP="00475308">
      <w:pPr>
        <w:pStyle w:val="Cuadrculamedia21"/>
        <w:ind w:left="340"/>
        <w:rPr>
          <w:rFonts w:ascii="Arial" w:hAnsi="Arial" w:cs="Arial"/>
          <w:i/>
          <w:szCs w:val="20"/>
        </w:rPr>
      </w:pPr>
      <w:r w:rsidRPr="001C1DF0">
        <w:rPr>
          <w:rFonts w:ascii="Arial" w:hAnsi="Arial" w:cs="Arial"/>
          <w:i/>
          <w:szCs w:val="20"/>
          <w:lang w:val="es-CO"/>
        </w:rPr>
        <w:t>Los recursos de reposición y de queja no serán obligatorios</w:t>
      </w:r>
      <w:r w:rsidRPr="001C1DF0">
        <w:rPr>
          <w:rFonts w:ascii="Arial" w:hAnsi="Arial" w:cs="Arial"/>
          <w:i/>
          <w:szCs w:val="20"/>
        </w:rPr>
        <w:t>”.</w:t>
      </w:r>
    </w:p>
    <w:p w14:paraId="019B1463" w14:textId="77777777" w:rsidR="00E10B43" w:rsidRDefault="00E10B43" w:rsidP="000327B6">
      <w:pPr>
        <w:autoSpaceDE w:val="0"/>
        <w:autoSpaceDN w:val="0"/>
        <w:adjustRightInd w:val="0"/>
        <w:spacing w:after="0" w:line="240" w:lineRule="auto"/>
        <w:jc w:val="both"/>
        <w:rPr>
          <w:rFonts w:ascii="Arial" w:hAnsi="Arial" w:cs="Arial"/>
          <w:sz w:val="24"/>
        </w:rPr>
      </w:pPr>
    </w:p>
    <w:p w14:paraId="3569D3BC" w14:textId="77777777" w:rsidR="00B0671F" w:rsidRPr="00BF6275" w:rsidRDefault="00B0671F" w:rsidP="00B0671F">
      <w:pPr>
        <w:pStyle w:val="Cuadrculamedia21"/>
        <w:jc w:val="both"/>
        <w:rPr>
          <w:rFonts w:ascii="Arial" w:hAnsi="Arial" w:cs="Arial"/>
          <w:sz w:val="24"/>
          <w:szCs w:val="24"/>
        </w:rPr>
      </w:pPr>
    </w:p>
    <w:p w14:paraId="37ECAEDC" w14:textId="77777777" w:rsidR="00B0671F" w:rsidRPr="00BF6275" w:rsidRDefault="00B0671F" w:rsidP="00B0671F">
      <w:pPr>
        <w:pStyle w:val="Cuadrculamedia21"/>
        <w:jc w:val="center"/>
        <w:rPr>
          <w:rFonts w:ascii="Arial" w:hAnsi="Arial" w:cs="Arial"/>
          <w:b/>
          <w:sz w:val="24"/>
          <w:szCs w:val="24"/>
          <w:lang w:val="es-MX"/>
        </w:rPr>
      </w:pPr>
      <w:r w:rsidRPr="00BF6275">
        <w:rPr>
          <w:rFonts w:ascii="Arial" w:hAnsi="Arial" w:cs="Arial"/>
          <w:b/>
          <w:sz w:val="24"/>
          <w:szCs w:val="24"/>
          <w:lang w:val="es-MX"/>
        </w:rPr>
        <w:t>MOTIVOS DE INCONFORMIDAD</w:t>
      </w:r>
    </w:p>
    <w:p w14:paraId="0DFD11E1" w14:textId="77777777" w:rsidR="00B0671F" w:rsidRPr="00BF6275" w:rsidRDefault="00B0671F" w:rsidP="00B0671F">
      <w:pPr>
        <w:pStyle w:val="Cuadrculamedia21"/>
        <w:jc w:val="both"/>
        <w:rPr>
          <w:rFonts w:ascii="Arial" w:hAnsi="Arial" w:cs="Arial"/>
          <w:sz w:val="24"/>
          <w:szCs w:val="24"/>
          <w:lang w:val="es-MX"/>
        </w:rPr>
      </w:pPr>
    </w:p>
    <w:p w14:paraId="40A3A40E" w14:textId="77777777" w:rsidR="00B0671F" w:rsidRPr="00BF6275" w:rsidRDefault="00B0671F" w:rsidP="00B0671F">
      <w:pPr>
        <w:pStyle w:val="Cuadrculamedia21"/>
        <w:jc w:val="both"/>
        <w:rPr>
          <w:rFonts w:ascii="Arial" w:eastAsia="Times New Roman" w:hAnsi="Arial" w:cs="Arial"/>
          <w:sz w:val="24"/>
          <w:szCs w:val="24"/>
          <w:lang w:val="es-CO" w:eastAsia="es-CO"/>
        </w:rPr>
      </w:pPr>
      <w:r w:rsidRPr="00BF6275">
        <w:rPr>
          <w:rFonts w:ascii="Arial" w:eastAsia="Times New Roman" w:hAnsi="Arial" w:cs="Arial"/>
          <w:sz w:val="24"/>
          <w:szCs w:val="24"/>
          <w:lang w:val="es-CO" w:eastAsia="es-CO"/>
        </w:rPr>
        <w:t xml:space="preserve">Que el recurrente basa su inconformidad en los siguientes términos: </w:t>
      </w:r>
    </w:p>
    <w:p w14:paraId="60D97338" w14:textId="77777777" w:rsidR="00B0671F" w:rsidRPr="00BF6275" w:rsidRDefault="00B0671F" w:rsidP="00B0671F">
      <w:pPr>
        <w:pStyle w:val="Cuadrculamedia21"/>
        <w:jc w:val="both"/>
        <w:rPr>
          <w:rFonts w:ascii="Arial" w:eastAsia="Times New Roman" w:hAnsi="Arial" w:cs="Arial"/>
          <w:sz w:val="24"/>
          <w:szCs w:val="24"/>
          <w:lang w:val="es-CO" w:eastAsia="es-CO"/>
        </w:rPr>
      </w:pPr>
    </w:p>
    <w:p w14:paraId="112605C9" w14:textId="77777777" w:rsidR="00B0671F" w:rsidRPr="00E224D2" w:rsidRDefault="00B0671F" w:rsidP="00B0671F">
      <w:pPr>
        <w:spacing w:after="0" w:line="240" w:lineRule="auto"/>
        <w:jc w:val="both"/>
        <w:rPr>
          <w:rFonts w:ascii="Arial" w:eastAsia="Times New Roman" w:hAnsi="Arial" w:cs="Arial"/>
          <w:color w:val="FF0000"/>
          <w:sz w:val="24"/>
          <w:szCs w:val="24"/>
          <w:lang w:eastAsia="es-CO"/>
        </w:rPr>
      </w:pPr>
      <w:r w:rsidRPr="00E224D2">
        <w:rPr>
          <w:rFonts w:ascii="Arial" w:eastAsia="Times New Roman" w:hAnsi="Arial" w:cs="Arial"/>
          <w:color w:val="FF0000"/>
          <w:sz w:val="24"/>
          <w:szCs w:val="24"/>
          <w:lang w:eastAsia="es-CO"/>
        </w:rPr>
        <w:t>(indicar los motivos de inconformidad y los argumentos del contribuyente)</w:t>
      </w:r>
    </w:p>
    <w:p w14:paraId="7AB8ACB5" w14:textId="77777777" w:rsidR="00B0671F" w:rsidRPr="00BF6275" w:rsidRDefault="00B0671F" w:rsidP="00B0671F">
      <w:pPr>
        <w:spacing w:after="0" w:line="240" w:lineRule="auto"/>
        <w:jc w:val="both"/>
        <w:rPr>
          <w:rFonts w:ascii="Arial" w:eastAsia="Times New Roman" w:hAnsi="Arial" w:cs="Arial"/>
          <w:sz w:val="24"/>
          <w:szCs w:val="24"/>
          <w:lang w:eastAsia="es-CO"/>
        </w:rPr>
      </w:pPr>
    </w:p>
    <w:p w14:paraId="19C6A0E7" w14:textId="77777777" w:rsidR="00B0671F" w:rsidRDefault="00B0671F" w:rsidP="00B0671F">
      <w:pPr>
        <w:spacing w:after="0" w:line="240" w:lineRule="auto"/>
        <w:jc w:val="both"/>
        <w:rPr>
          <w:rFonts w:ascii="Arial" w:eastAsia="Times New Roman" w:hAnsi="Arial" w:cs="Arial"/>
          <w:sz w:val="24"/>
          <w:szCs w:val="24"/>
          <w:lang w:val="es-ES" w:eastAsia="ar-SA"/>
        </w:rPr>
      </w:pPr>
      <w:r w:rsidRPr="00BF6275">
        <w:rPr>
          <w:rFonts w:ascii="Arial" w:eastAsia="Times New Roman" w:hAnsi="Arial" w:cs="Arial"/>
          <w:sz w:val="24"/>
          <w:szCs w:val="24"/>
          <w:lang w:val="es-ES" w:eastAsia="ar-SA"/>
        </w:rPr>
        <w:t>Que anexo a la solicitud se encontró:</w:t>
      </w:r>
      <w:r w:rsidR="00D60B0E">
        <w:rPr>
          <w:rFonts w:ascii="Arial" w:eastAsia="Times New Roman" w:hAnsi="Arial" w:cs="Arial"/>
          <w:sz w:val="24"/>
          <w:szCs w:val="24"/>
          <w:lang w:val="es-ES" w:eastAsia="ar-SA"/>
        </w:rPr>
        <w:t xml:space="preserve"> (insertar pruebas)</w:t>
      </w:r>
    </w:p>
    <w:p w14:paraId="74178F36" w14:textId="77777777" w:rsidR="00B0671F" w:rsidRPr="00BF6275" w:rsidRDefault="00B0671F" w:rsidP="00B0671F">
      <w:pPr>
        <w:spacing w:after="0" w:line="240" w:lineRule="auto"/>
        <w:jc w:val="both"/>
        <w:rPr>
          <w:rFonts w:ascii="Arial" w:eastAsia="Times New Roman" w:hAnsi="Arial" w:cs="Arial"/>
          <w:sz w:val="24"/>
          <w:szCs w:val="24"/>
          <w:lang w:eastAsia="es-CO"/>
        </w:rPr>
      </w:pPr>
    </w:p>
    <w:p w14:paraId="4FC7C6A8" w14:textId="77777777" w:rsidR="00B0671F" w:rsidRPr="00BF6275" w:rsidRDefault="00B0671F" w:rsidP="00B0671F">
      <w:pPr>
        <w:spacing w:after="0" w:line="240" w:lineRule="auto"/>
        <w:jc w:val="both"/>
        <w:rPr>
          <w:rFonts w:ascii="Arial" w:eastAsia="Times New Roman" w:hAnsi="Arial" w:cs="Arial"/>
          <w:b/>
          <w:sz w:val="24"/>
          <w:szCs w:val="24"/>
          <w:lang w:eastAsia="es-CO"/>
        </w:rPr>
      </w:pPr>
    </w:p>
    <w:p w14:paraId="3E1D0B46" w14:textId="77777777" w:rsidR="00B0671F" w:rsidRPr="00BF6275" w:rsidRDefault="00B0671F" w:rsidP="00B0671F">
      <w:pPr>
        <w:spacing w:after="0" w:line="240" w:lineRule="auto"/>
        <w:jc w:val="center"/>
        <w:rPr>
          <w:rFonts w:ascii="Arial" w:eastAsia="Times New Roman" w:hAnsi="Arial" w:cs="Arial"/>
          <w:b/>
          <w:sz w:val="24"/>
          <w:szCs w:val="24"/>
          <w:lang w:eastAsia="es-CO"/>
        </w:rPr>
      </w:pPr>
      <w:r>
        <w:rPr>
          <w:rFonts w:ascii="Arial" w:eastAsia="Times New Roman" w:hAnsi="Arial" w:cs="Arial"/>
          <w:b/>
          <w:sz w:val="24"/>
          <w:szCs w:val="24"/>
          <w:lang w:eastAsia="es-CO"/>
        </w:rPr>
        <w:t>CONSIDERACIONES DE LA ADMINISTRACIÓN</w:t>
      </w:r>
    </w:p>
    <w:p w14:paraId="7B465A03" w14:textId="77777777" w:rsidR="00B0671F" w:rsidRPr="00BF6275" w:rsidRDefault="00B0671F" w:rsidP="00B0671F">
      <w:pPr>
        <w:pStyle w:val="Cuadrculamedia21"/>
        <w:jc w:val="both"/>
        <w:rPr>
          <w:rFonts w:ascii="Arial" w:eastAsia="Times New Roman" w:hAnsi="Arial" w:cs="Arial"/>
          <w:sz w:val="24"/>
          <w:szCs w:val="24"/>
          <w:lang w:val="es-CO" w:eastAsia="es-CO"/>
        </w:rPr>
      </w:pPr>
    </w:p>
    <w:p w14:paraId="54F82045" w14:textId="77777777" w:rsidR="00B0671F" w:rsidRDefault="00B0671F" w:rsidP="00B0671F">
      <w:pPr>
        <w:pStyle w:val="Cuadrculamedia21"/>
        <w:jc w:val="both"/>
        <w:rPr>
          <w:rFonts w:ascii="Arial" w:eastAsia="Times New Roman" w:hAnsi="Arial" w:cs="Arial"/>
          <w:color w:val="FF0000"/>
          <w:sz w:val="24"/>
          <w:szCs w:val="24"/>
          <w:lang w:val="es-CO" w:eastAsia="es-CO"/>
        </w:rPr>
      </w:pPr>
      <w:r w:rsidRPr="00E224D2">
        <w:rPr>
          <w:rFonts w:ascii="Arial" w:eastAsia="Times New Roman" w:hAnsi="Arial" w:cs="Arial"/>
          <w:color w:val="FF0000"/>
          <w:sz w:val="24"/>
          <w:szCs w:val="24"/>
          <w:lang w:val="es-CO" w:eastAsia="es-CO"/>
        </w:rPr>
        <w:t>(motivación, consideraciones fácticas y jurídicas, análisis probatorios</w:t>
      </w:r>
      <w:r>
        <w:rPr>
          <w:rFonts w:ascii="Arial" w:eastAsia="Times New Roman" w:hAnsi="Arial" w:cs="Arial"/>
          <w:color w:val="FF0000"/>
          <w:sz w:val="24"/>
          <w:szCs w:val="24"/>
          <w:lang w:val="es-CO" w:eastAsia="es-CO"/>
        </w:rPr>
        <w:t>, del caso concreto</w:t>
      </w:r>
      <w:r w:rsidRPr="00E224D2">
        <w:rPr>
          <w:rFonts w:ascii="Arial" w:eastAsia="Times New Roman" w:hAnsi="Arial" w:cs="Arial"/>
          <w:color w:val="FF0000"/>
          <w:sz w:val="24"/>
          <w:szCs w:val="24"/>
          <w:lang w:val="es-CO" w:eastAsia="es-CO"/>
        </w:rPr>
        <w:t xml:space="preserve">) </w:t>
      </w:r>
    </w:p>
    <w:p w14:paraId="4DFAE895" w14:textId="77777777" w:rsidR="00B0671F" w:rsidRDefault="00B0671F" w:rsidP="003F656C">
      <w:pPr>
        <w:autoSpaceDE w:val="0"/>
        <w:autoSpaceDN w:val="0"/>
        <w:adjustRightInd w:val="0"/>
        <w:spacing w:after="0" w:line="240" w:lineRule="auto"/>
        <w:jc w:val="both"/>
        <w:rPr>
          <w:rFonts w:ascii="Arial" w:eastAsia="Times New Roman" w:hAnsi="Arial" w:cs="Arial"/>
          <w:sz w:val="24"/>
          <w:szCs w:val="24"/>
          <w:lang w:eastAsia="es-CO"/>
        </w:rPr>
      </w:pPr>
    </w:p>
    <w:p w14:paraId="2DB97D16" w14:textId="77777777" w:rsidR="00264C3D" w:rsidRDefault="00195AC9" w:rsidP="003F656C">
      <w:pPr>
        <w:autoSpaceDE w:val="0"/>
        <w:autoSpaceDN w:val="0"/>
        <w:adjustRightInd w:val="0"/>
        <w:spacing w:after="0" w:line="240" w:lineRule="auto"/>
        <w:jc w:val="both"/>
        <w:rPr>
          <w:rFonts w:ascii="Arial" w:eastAsia="Times New Roman" w:hAnsi="Arial" w:cs="Arial"/>
          <w:sz w:val="24"/>
          <w:szCs w:val="24"/>
          <w:lang w:eastAsia="es-CO"/>
        </w:rPr>
      </w:pPr>
      <w:r w:rsidRPr="00195AC9">
        <w:rPr>
          <w:rFonts w:ascii="Arial" w:eastAsia="Times New Roman" w:hAnsi="Arial" w:cs="Arial"/>
          <w:sz w:val="24"/>
          <w:szCs w:val="24"/>
          <w:lang w:eastAsia="es-CO"/>
        </w:rPr>
        <w:t>Que por lo expuesto anteriormente, la Oficina de Fiscalización, Control y Cobro Persuasivo,</w:t>
      </w:r>
    </w:p>
    <w:p w14:paraId="4000907B" w14:textId="77777777" w:rsidR="00195AC9" w:rsidRPr="004949D3" w:rsidRDefault="00195AC9" w:rsidP="003F656C">
      <w:pPr>
        <w:autoSpaceDE w:val="0"/>
        <w:autoSpaceDN w:val="0"/>
        <w:adjustRightInd w:val="0"/>
        <w:spacing w:after="0" w:line="240" w:lineRule="auto"/>
        <w:jc w:val="both"/>
        <w:rPr>
          <w:rFonts w:ascii="Arial" w:eastAsia="Times New Roman" w:hAnsi="Arial" w:cs="Arial"/>
          <w:sz w:val="24"/>
          <w:szCs w:val="24"/>
          <w:lang w:eastAsia="es-CO"/>
        </w:rPr>
      </w:pPr>
    </w:p>
    <w:p w14:paraId="70B39034" w14:textId="77777777" w:rsidR="00264C3D" w:rsidRPr="004949D3" w:rsidRDefault="00C54608" w:rsidP="003F656C">
      <w:pPr>
        <w:autoSpaceDE w:val="0"/>
        <w:autoSpaceDN w:val="0"/>
        <w:adjustRightInd w:val="0"/>
        <w:spacing w:after="0" w:line="240" w:lineRule="auto"/>
        <w:jc w:val="center"/>
        <w:rPr>
          <w:rFonts w:ascii="Arial" w:eastAsia="Times New Roman" w:hAnsi="Arial" w:cs="Arial"/>
          <w:b/>
          <w:sz w:val="24"/>
          <w:szCs w:val="24"/>
          <w:lang w:eastAsia="es-CO"/>
        </w:rPr>
      </w:pPr>
      <w:r>
        <w:rPr>
          <w:rFonts w:ascii="Arial" w:eastAsia="Times New Roman" w:hAnsi="Arial" w:cs="Arial"/>
          <w:b/>
          <w:sz w:val="24"/>
          <w:szCs w:val="24"/>
          <w:lang w:eastAsia="es-CO"/>
        </w:rPr>
        <w:t>RESUELVE</w:t>
      </w:r>
    </w:p>
    <w:p w14:paraId="33B00CB5" w14:textId="77777777" w:rsidR="00824103" w:rsidRPr="004949D3" w:rsidRDefault="00824103" w:rsidP="003F656C">
      <w:pPr>
        <w:autoSpaceDE w:val="0"/>
        <w:autoSpaceDN w:val="0"/>
        <w:adjustRightInd w:val="0"/>
        <w:spacing w:after="0" w:line="240" w:lineRule="auto"/>
        <w:jc w:val="both"/>
        <w:rPr>
          <w:rFonts w:ascii="Arial" w:eastAsia="Times New Roman" w:hAnsi="Arial" w:cs="Arial"/>
          <w:b/>
          <w:sz w:val="24"/>
          <w:szCs w:val="24"/>
          <w:lang w:eastAsia="es-CO"/>
        </w:rPr>
      </w:pPr>
    </w:p>
    <w:p w14:paraId="03E4524D" w14:textId="77777777" w:rsidR="00264C3D" w:rsidRPr="004949D3" w:rsidRDefault="00264C3D" w:rsidP="003F656C">
      <w:pPr>
        <w:autoSpaceDE w:val="0"/>
        <w:autoSpaceDN w:val="0"/>
        <w:adjustRightInd w:val="0"/>
        <w:spacing w:after="0" w:line="240" w:lineRule="auto"/>
        <w:jc w:val="both"/>
        <w:rPr>
          <w:rFonts w:ascii="Arial" w:eastAsia="Times New Roman" w:hAnsi="Arial" w:cs="Arial"/>
          <w:sz w:val="24"/>
          <w:szCs w:val="24"/>
          <w:lang w:eastAsia="es-CO"/>
        </w:rPr>
      </w:pPr>
      <w:r w:rsidRPr="004949D3">
        <w:rPr>
          <w:rFonts w:ascii="Arial" w:eastAsia="Times New Roman" w:hAnsi="Arial" w:cs="Arial"/>
          <w:b/>
          <w:sz w:val="24"/>
          <w:szCs w:val="24"/>
          <w:lang w:eastAsia="es-CO"/>
        </w:rPr>
        <w:t xml:space="preserve">ARTÍCULO PRIMERO. </w:t>
      </w:r>
      <w:r w:rsidR="00F61C48">
        <w:rPr>
          <w:rFonts w:ascii="Arial" w:eastAsia="Times New Roman" w:hAnsi="Arial" w:cs="Arial"/>
          <w:b/>
          <w:sz w:val="24"/>
          <w:szCs w:val="24"/>
          <w:lang w:eastAsia="es-CO"/>
        </w:rPr>
        <w:t>RE</w:t>
      </w:r>
      <w:r w:rsidR="00F92174">
        <w:rPr>
          <w:rFonts w:ascii="Arial" w:eastAsia="Times New Roman" w:hAnsi="Arial" w:cs="Arial"/>
          <w:b/>
          <w:sz w:val="24"/>
          <w:szCs w:val="24"/>
          <w:lang w:eastAsia="es-CO"/>
        </w:rPr>
        <w:t>PONER</w:t>
      </w:r>
      <w:r w:rsidR="00830193">
        <w:rPr>
          <w:rFonts w:ascii="Arial" w:eastAsia="Times New Roman" w:hAnsi="Arial" w:cs="Arial"/>
          <w:b/>
          <w:sz w:val="24"/>
          <w:szCs w:val="24"/>
          <w:lang w:eastAsia="es-CO"/>
        </w:rPr>
        <w:t>/CONFIRMAR</w:t>
      </w:r>
      <w:r w:rsidR="00B861AA">
        <w:rPr>
          <w:rFonts w:ascii="Arial" w:eastAsia="Times New Roman" w:hAnsi="Arial" w:cs="Arial"/>
          <w:b/>
          <w:sz w:val="24"/>
          <w:szCs w:val="24"/>
          <w:lang w:eastAsia="es-CO"/>
        </w:rPr>
        <w:t xml:space="preserve"> </w:t>
      </w:r>
      <w:r w:rsidR="00A96F3A">
        <w:rPr>
          <w:rFonts w:ascii="Arial" w:eastAsia="Times New Roman" w:hAnsi="Arial" w:cs="Arial"/>
          <w:sz w:val="24"/>
          <w:szCs w:val="24"/>
          <w:lang w:eastAsia="es-CO"/>
        </w:rPr>
        <w:t xml:space="preserve">el Auto </w:t>
      </w:r>
      <w:r w:rsidR="00F92174">
        <w:rPr>
          <w:rFonts w:ascii="Arial" w:eastAsia="Times New Roman" w:hAnsi="Arial" w:cs="Arial"/>
          <w:sz w:val="24"/>
          <w:szCs w:val="24"/>
          <w:lang w:eastAsia="es-CO"/>
        </w:rPr>
        <w:t xml:space="preserve">N° </w:t>
      </w:r>
      <w:r w:rsidR="00C6348D" w:rsidRPr="00EB6D7D">
        <w:rPr>
          <w:rFonts w:ascii="Arial" w:eastAsia="Times New Roman" w:hAnsi="Arial" w:cs="Arial"/>
          <w:color w:val="FF0000"/>
          <w:sz w:val="24"/>
          <w:szCs w:val="24"/>
          <w:lang w:eastAsia="es-CO"/>
        </w:rPr>
        <w:t xml:space="preserve">(insertar) </w:t>
      </w:r>
      <w:r w:rsidR="00C6348D">
        <w:rPr>
          <w:rFonts w:ascii="Arial" w:eastAsia="Times New Roman" w:hAnsi="Arial" w:cs="Arial"/>
          <w:sz w:val="24"/>
          <w:szCs w:val="24"/>
          <w:lang w:eastAsia="es-CO"/>
        </w:rPr>
        <w:t xml:space="preserve">del </w:t>
      </w:r>
      <w:r w:rsidR="00C6348D" w:rsidRPr="00EB6D7D">
        <w:rPr>
          <w:rFonts w:ascii="Arial" w:eastAsia="Times New Roman" w:hAnsi="Arial" w:cs="Arial"/>
          <w:color w:val="FF0000"/>
          <w:sz w:val="24"/>
          <w:szCs w:val="24"/>
          <w:lang w:eastAsia="es-CO"/>
        </w:rPr>
        <w:t>(insertar)</w:t>
      </w:r>
      <w:r w:rsidR="00F92174" w:rsidRPr="00EB6D7D">
        <w:rPr>
          <w:rFonts w:ascii="Arial" w:eastAsia="Times New Roman" w:hAnsi="Arial" w:cs="Arial"/>
          <w:color w:val="FF0000"/>
          <w:sz w:val="24"/>
          <w:szCs w:val="24"/>
          <w:lang w:eastAsia="es-CO"/>
        </w:rPr>
        <w:t xml:space="preserve">, </w:t>
      </w:r>
      <w:r w:rsidR="00F92174">
        <w:rPr>
          <w:rFonts w:ascii="Arial" w:eastAsia="Times New Roman" w:hAnsi="Arial" w:cs="Arial"/>
          <w:sz w:val="24"/>
          <w:szCs w:val="24"/>
          <w:lang w:eastAsia="es-CO"/>
        </w:rPr>
        <w:t xml:space="preserve">por medio del cual la Oficina de Fiscalización, Control y Cobro </w:t>
      </w:r>
      <w:r w:rsidR="00B0671F">
        <w:rPr>
          <w:rFonts w:ascii="Arial" w:eastAsia="Times New Roman" w:hAnsi="Arial" w:cs="Arial"/>
          <w:sz w:val="24"/>
          <w:szCs w:val="24"/>
          <w:lang w:eastAsia="es-CO"/>
        </w:rPr>
        <w:t xml:space="preserve">da por no presentada una declaración privada del </w:t>
      </w:r>
      <w:r w:rsidR="00AD0E5E" w:rsidRPr="00AD0E5E">
        <w:rPr>
          <w:rFonts w:ascii="Arial" w:eastAsia="Times New Roman" w:hAnsi="Arial" w:cs="Arial"/>
          <w:sz w:val="24"/>
          <w:szCs w:val="24"/>
          <w:lang w:eastAsia="es-CO"/>
        </w:rPr>
        <w:t xml:space="preserve">contribuyente/agente retenedor </w:t>
      </w:r>
      <w:r w:rsidRPr="004949D3">
        <w:rPr>
          <w:rFonts w:ascii="Arial" w:eastAsia="Times New Roman" w:hAnsi="Arial" w:cs="Arial"/>
          <w:sz w:val="24"/>
          <w:szCs w:val="24"/>
          <w:lang w:eastAsia="es-CO"/>
        </w:rPr>
        <w:t xml:space="preserve"> </w:t>
      </w:r>
      <w:r w:rsidR="00C6348D" w:rsidRPr="00EB6D7D">
        <w:rPr>
          <w:rFonts w:ascii="Arial" w:hAnsi="Arial" w:cs="Arial"/>
          <w:b/>
          <w:color w:val="FF0000"/>
          <w:sz w:val="24"/>
        </w:rPr>
        <w:t xml:space="preserve">(INSERTAR) </w:t>
      </w:r>
      <w:r w:rsidR="00A96F3A" w:rsidRPr="00736885">
        <w:rPr>
          <w:rFonts w:ascii="Arial" w:hAnsi="Arial" w:cs="Arial"/>
          <w:sz w:val="24"/>
        </w:rPr>
        <w:t xml:space="preserve">identificada con Nit. </w:t>
      </w:r>
      <w:r w:rsidR="00C6348D" w:rsidRPr="00EB6D7D">
        <w:rPr>
          <w:rFonts w:ascii="Arial" w:hAnsi="Arial" w:cs="Arial"/>
          <w:b/>
          <w:color w:val="FF0000"/>
          <w:sz w:val="24"/>
        </w:rPr>
        <w:t>(insertar)</w:t>
      </w:r>
      <w:r w:rsidRPr="00EB6D7D">
        <w:rPr>
          <w:rFonts w:ascii="Arial" w:eastAsia="Times New Roman" w:hAnsi="Arial" w:cs="Arial"/>
          <w:b/>
          <w:color w:val="FF0000"/>
          <w:sz w:val="24"/>
          <w:szCs w:val="24"/>
          <w:lang w:eastAsia="es-CO"/>
        </w:rPr>
        <w:t xml:space="preserve">, </w:t>
      </w:r>
      <w:r w:rsidR="00182FA3">
        <w:rPr>
          <w:rFonts w:ascii="Arial" w:eastAsia="Times New Roman" w:hAnsi="Arial" w:cs="Arial"/>
          <w:sz w:val="24"/>
          <w:szCs w:val="24"/>
          <w:lang w:eastAsia="es-CO"/>
        </w:rPr>
        <w:t xml:space="preserve">por el </w:t>
      </w:r>
      <w:r w:rsidR="00AD0E5E" w:rsidRPr="00AD0E5E">
        <w:rPr>
          <w:rFonts w:ascii="Arial" w:eastAsia="Times New Roman" w:hAnsi="Arial" w:cs="Arial"/>
          <w:sz w:val="24"/>
          <w:szCs w:val="24"/>
          <w:lang w:eastAsia="es-CO"/>
        </w:rPr>
        <w:t>periodo gravable/bimestre (insertar)</w:t>
      </w:r>
      <w:r w:rsidR="00F92174">
        <w:rPr>
          <w:rFonts w:ascii="Arial" w:eastAsia="Times New Roman" w:hAnsi="Arial" w:cs="Arial"/>
          <w:sz w:val="24"/>
          <w:szCs w:val="24"/>
          <w:lang w:eastAsia="es-CO"/>
        </w:rPr>
        <w:t>, de conf</w:t>
      </w:r>
      <w:r w:rsidR="00824103" w:rsidRPr="004949D3">
        <w:rPr>
          <w:rFonts w:ascii="Arial" w:eastAsia="Times New Roman" w:hAnsi="Arial" w:cs="Arial"/>
          <w:sz w:val="24"/>
          <w:szCs w:val="24"/>
          <w:lang w:eastAsia="es-CO"/>
        </w:rPr>
        <w:t>ormidad con la parte motiva del</w:t>
      </w:r>
      <w:r w:rsidRPr="004949D3">
        <w:rPr>
          <w:rFonts w:ascii="Arial" w:eastAsia="Times New Roman" w:hAnsi="Arial" w:cs="Arial"/>
          <w:sz w:val="24"/>
          <w:szCs w:val="24"/>
          <w:lang w:eastAsia="es-CO"/>
        </w:rPr>
        <w:t xml:space="preserve"> presente </w:t>
      </w:r>
      <w:r w:rsidR="00824103" w:rsidRPr="004949D3">
        <w:rPr>
          <w:rFonts w:ascii="Arial" w:eastAsia="Times New Roman" w:hAnsi="Arial" w:cs="Arial"/>
          <w:sz w:val="24"/>
          <w:szCs w:val="24"/>
          <w:lang w:eastAsia="es-CO"/>
        </w:rPr>
        <w:t>Acto Administrativo</w:t>
      </w:r>
      <w:r w:rsidRPr="004949D3">
        <w:rPr>
          <w:rFonts w:ascii="Arial" w:eastAsia="Times New Roman" w:hAnsi="Arial" w:cs="Arial"/>
          <w:sz w:val="24"/>
          <w:szCs w:val="24"/>
          <w:lang w:eastAsia="es-CO"/>
        </w:rPr>
        <w:t>.</w:t>
      </w:r>
    </w:p>
    <w:p w14:paraId="6935FF94" w14:textId="77777777" w:rsidR="00264C3D" w:rsidRPr="004949D3" w:rsidRDefault="00264C3D" w:rsidP="003F656C">
      <w:pPr>
        <w:autoSpaceDE w:val="0"/>
        <w:autoSpaceDN w:val="0"/>
        <w:adjustRightInd w:val="0"/>
        <w:spacing w:after="0" w:line="240" w:lineRule="auto"/>
        <w:jc w:val="both"/>
        <w:rPr>
          <w:rFonts w:ascii="Arial" w:eastAsia="Times New Roman" w:hAnsi="Arial" w:cs="Arial"/>
          <w:sz w:val="24"/>
          <w:szCs w:val="24"/>
          <w:lang w:eastAsia="es-CO"/>
        </w:rPr>
      </w:pPr>
    </w:p>
    <w:p w14:paraId="579AC607" w14:textId="77777777" w:rsidR="00B17B60" w:rsidRPr="00182FA3" w:rsidRDefault="00264C3D" w:rsidP="003F656C">
      <w:pPr>
        <w:autoSpaceDE w:val="0"/>
        <w:autoSpaceDN w:val="0"/>
        <w:adjustRightInd w:val="0"/>
        <w:spacing w:after="0" w:line="240" w:lineRule="auto"/>
        <w:jc w:val="both"/>
        <w:rPr>
          <w:rFonts w:ascii="Arial" w:eastAsia="Times New Roman" w:hAnsi="Arial" w:cs="Arial"/>
          <w:sz w:val="24"/>
          <w:szCs w:val="24"/>
          <w:lang w:eastAsia="es-CO"/>
        </w:rPr>
      </w:pPr>
      <w:r w:rsidRPr="004949D3">
        <w:rPr>
          <w:rFonts w:ascii="Arial" w:eastAsia="Times New Roman" w:hAnsi="Arial" w:cs="Arial"/>
          <w:b/>
          <w:sz w:val="24"/>
          <w:szCs w:val="24"/>
          <w:lang w:eastAsia="es-CO"/>
        </w:rPr>
        <w:t xml:space="preserve">ARTÍCULO </w:t>
      </w:r>
      <w:r w:rsidR="00824103" w:rsidRPr="004949D3">
        <w:rPr>
          <w:rFonts w:ascii="Arial" w:eastAsia="Times New Roman" w:hAnsi="Arial" w:cs="Arial"/>
          <w:b/>
          <w:sz w:val="24"/>
          <w:szCs w:val="24"/>
          <w:lang w:eastAsia="es-CO"/>
        </w:rPr>
        <w:t>SEGUNDO</w:t>
      </w:r>
      <w:r w:rsidRPr="004949D3">
        <w:rPr>
          <w:rFonts w:ascii="Arial" w:eastAsia="Times New Roman" w:hAnsi="Arial" w:cs="Arial"/>
          <w:b/>
          <w:sz w:val="24"/>
          <w:szCs w:val="24"/>
          <w:lang w:eastAsia="es-CO"/>
        </w:rPr>
        <w:t>.</w:t>
      </w:r>
      <w:r w:rsidRPr="004949D3">
        <w:rPr>
          <w:rFonts w:ascii="Arial" w:eastAsia="Times New Roman" w:hAnsi="Arial" w:cs="Arial"/>
          <w:sz w:val="24"/>
          <w:szCs w:val="24"/>
          <w:lang w:eastAsia="es-CO"/>
        </w:rPr>
        <w:t xml:space="preserve"> </w:t>
      </w:r>
      <w:r w:rsidR="00182FA3" w:rsidRPr="00182FA3">
        <w:rPr>
          <w:rFonts w:ascii="Arial" w:eastAsia="Times New Roman" w:hAnsi="Arial" w:cs="Arial"/>
          <w:color w:val="FF0000"/>
          <w:sz w:val="24"/>
          <w:szCs w:val="24"/>
          <w:lang w:eastAsia="es-CO"/>
        </w:rPr>
        <w:t>(</w:t>
      </w:r>
      <w:r w:rsidR="00EB6D7D">
        <w:rPr>
          <w:rFonts w:ascii="Arial" w:eastAsia="Times New Roman" w:hAnsi="Arial" w:cs="Arial"/>
          <w:color w:val="FF0000"/>
          <w:sz w:val="24"/>
          <w:szCs w:val="24"/>
          <w:lang w:eastAsia="es-CO"/>
        </w:rPr>
        <w:t>SOLO SI SE CONFIRMA</w:t>
      </w:r>
      <w:r w:rsidR="00182FA3" w:rsidRPr="00182FA3">
        <w:rPr>
          <w:rFonts w:ascii="Arial" w:eastAsia="Times New Roman" w:hAnsi="Arial" w:cs="Arial"/>
          <w:color w:val="FF0000"/>
          <w:sz w:val="24"/>
          <w:szCs w:val="24"/>
          <w:lang w:eastAsia="es-CO"/>
        </w:rPr>
        <w:t>)</w:t>
      </w:r>
      <w:r w:rsidR="00182FA3">
        <w:rPr>
          <w:rFonts w:ascii="Arial" w:eastAsia="Times New Roman" w:hAnsi="Arial" w:cs="Arial"/>
          <w:color w:val="FF0000"/>
          <w:sz w:val="24"/>
          <w:szCs w:val="24"/>
          <w:lang w:eastAsia="es-CO"/>
        </w:rPr>
        <w:t xml:space="preserve"> </w:t>
      </w:r>
      <w:r w:rsidR="00182FA3">
        <w:rPr>
          <w:rFonts w:ascii="Arial" w:eastAsia="Times New Roman" w:hAnsi="Arial" w:cs="Arial"/>
          <w:sz w:val="24"/>
          <w:szCs w:val="24"/>
          <w:lang w:eastAsia="es-CO"/>
        </w:rPr>
        <w:t xml:space="preserve"> </w:t>
      </w:r>
      <w:r w:rsidR="00182FA3" w:rsidRPr="00C31757">
        <w:rPr>
          <w:rFonts w:ascii="Arial" w:eastAsia="Times New Roman" w:hAnsi="Arial" w:cs="Arial"/>
          <w:b/>
          <w:sz w:val="24"/>
          <w:szCs w:val="24"/>
          <w:lang w:eastAsia="es-CO"/>
        </w:rPr>
        <w:t>TRASLADAR</w:t>
      </w:r>
      <w:r w:rsidR="00182FA3">
        <w:rPr>
          <w:rFonts w:ascii="Arial" w:eastAsia="Times New Roman" w:hAnsi="Arial" w:cs="Arial"/>
          <w:sz w:val="24"/>
          <w:szCs w:val="24"/>
          <w:lang w:eastAsia="es-CO"/>
        </w:rPr>
        <w:t xml:space="preserve"> </w:t>
      </w:r>
      <w:r w:rsidR="00C31757">
        <w:rPr>
          <w:rFonts w:ascii="Arial" w:eastAsia="Times New Roman" w:hAnsi="Arial" w:cs="Arial"/>
          <w:sz w:val="24"/>
          <w:szCs w:val="24"/>
          <w:lang w:eastAsia="es-CO"/>
        </w:rPr>
        <w:t xml:space="preserve">a la SECRETARÍA DE HACIENDA para resolver el recurso subsidiario de APELACIÓN. </w:t>
      </w:r>
    </w:p>
    <w:p w14:paraId="67ABDEA5" w14:textId="77777777" w:rsidR="00C6348D" w:rsidRDefault="00C6348D" w:rsidP="003F656C">
      <w:pPr>
        <w:autoSpaceDE w:val="0"/>
        <w:autoSpaceDN w:val="0"/>
        <w:adjustRightInd w:val="0"/>
        <w:spacing w:after="0" w:line="240" w:lineRule="auto"/>
        <w:jc w:val="both"/>
        <w:rPr>
          <w:rFonts w:ascii="Arial" w:eastAsia="Times New Roman" w:hAnsi="Arial" w:cs="Arial"/>
          <w:sz w:val="24"/>
          <w:szCs w:val="24"/>
          <w:lang w:eastAsia="es-CO"/>
        </w:rPr>
      </w:pPr>
    </w:p>
    <w:p w14:paraId="4789538E" w14:textId="77777777" w:rsidR="00406324" w:rsidRDefault="00264C3D" w:rsidP="00B861AA">
      <w:pPr>
        <w:spacing w:after="0" w:line="240" w:lineRule="auto"/>
        <w:jc w:val="both"/>
        <w:outlineLvl w:val="0"/>
        <w:rPr>
          <w:rFonts w:ascii="Arial" w:eastAsia="Times New Roman" w:hAnsi="Arial" w:cs="Arial"/>
          <w:sz w:val="24"/>
          <w:szCs w:val="24"/>
          <w:lang w:eastAsia="es-CO"/>
        </w:rPr>
      </w:pPr>
      <w:r w:rsidRPr="004949D3">
        <w:rPr>
          <w:rFonts w:ascii="Arial" w:eastAsia="Times New Roman" w:hAnsi="Arial" w:cs="Arial"/>
          <w:b/>
          <w:sz w:val="24"/>
          <w:szCs w:val="24"/>
          <w:lang w:eastAsia="es-CO"/>
        </w:rPr>
        <w:lastRenderedPageBreak/>
        <w:t xml:space="preserve">ARTÍCULO </w:t>
      </w:r>
      <w:r w:rsidR="00824103" w:rsidRPr="004949D3">
        <w:rPr>
          <w:rFonts w:ascii="Arial" w:eastAsia="Times New Roman" w:hAnsi="Arial" w:cs="Arial"/>
          <w:b/>
          <w:sz w:val="24"/>
          <w:szCs w:val="24"/>
          <w:lang w:eastAsia="es-CO"/>
        </w:rPr>
        <w:t>TERCERO</w:t>
      </w:r>
      <w:r w:rsidRPr="004949D3">
        <w:rPr>
          <w:rFonts w:ascii="Arial" w:eastAsia="Times New Roman" w:hAnsi="Arial" w:cs="Arial"/>
          <w:b/>
          <w:sz w:val="24"/>
          <w:szCs w:val="24"/>
          <w:lang w:eastAsia="es-CO"/>
        </w:rPr>
        <w:t xml:space="preserve">. </w:t>
      </w:r>
      <w:r w:rsidRPr="004949D3">
        <w:rPr>
          <w:rFonts w:ascii="Arial" w:eastAsia="Times New Roman" w:hAnsi="Arial" w:cs="Arial"/>
          <w:sz w:val="24"/>
          <w:szCs w:val="24"/>
          <w:lang w:eastAsia="es-CO"/>
        </w:rPr>
        <w:t>Notifíquese de conformidad con lo</w:t>
      </w:r>
      <w:r w:rsidR="00872948">
        <w:rPr>
          <w:rFonts w:ascii="Arial" w:eastAsia="Times New Roman" w:hAnsi="Arial" w:cs="Arial"/>
          <w:sz w:val="24"/>
          <w:szCs w:val="24"/>
          <w:lang w:eastAsia="es-CO"/>
        </w:rPr>
        <w:t xml:space="preserve"> dispuesto en el a</w:t>
      </w:r>
      <w:r w:rsidRPr="004949D3">
        <w:rPr>
          <w:rFonts w:ascii="Arial" w:eastAsia="Times New Roman" w:hAnsi="Arial" w:cs="Arial"/>
          <w:sz w:val="24"/>
          <w:szCs w:val="24"/>
          <w:lang w:eastAsia="es-CO"/>
        </w:rPr>
        <w:t xml:space="preserve">rtículo </w:t>
      </w:r>
      <w:r w:rsidR="00C90F44">
        <w:rPr>
          <w:rFonts w:ascii="Arial" w:eastAsia="Times New Roman" w:hAnsi="Arial" w:cs="Arial"/>
          <w:sz w:val="24"/>
          <w:szCs w:val="24"/>
          <w:lang w:eastAsia="es-CO"/>
        </w:rPr>
        <w:t>391</w:t>
      </w:r>
      <w:r w:rsidRPr="004949D3">
        <w:rPr>
          <w:rFonts w:ascii="Arial" w:eastAsia="Times New Roman" w:hAnsi="Arial" w:cs="Arial"/>
          <w:sz w:val="24"/>
          <w:szCs w:val="24"/>
          <w:lang w:eastAsia="es-CO"/>
        </w:rPr>
        <w:t xml:space="preserve"> del </w:t>
      </w:r>
      <w:r w:rsidR="00AD0E5E" w:rsidRPr="00AD0E5E">
        <w:rPr>
          <w:rFonts w:ascii="Arial" w:eastAsia="Times New Roman" w:hAnsi="Arial" w:cs="Arial"/>
          <w:sz w:val="24"/>
          <w:szCs w:val="24"/>
          <w:lang w:eastAsia="es-CO"/>
        </w:rPr>
        <w:t xml:space="preserve">Estatuto Tributario Municipal </w:t>
      </w:r>
      <w:r w:rsidR="00C90F44">
        <w:rPr>
          <w:rFonts w:ascii="Arial" w:eastAsia="Times New Roman" w:hAnsi="Arial" w:cs="Arial"/>
          <w:sz w:val="24"/>
          <w:szCs w:val="24"/>
          <w:lang w:eastAsia="es-CO"/>
        </w:rPr>
        <w:t xml:space="preserve">Acuerdo N° 023 </w:t>
      </w:r>
      <w:r w:rsidR="00C90F44" w:rsidRPr="00C90F44">
        <w:rPr>
          <w:rFonts w:ascii="Arial" w:eastAsia="Times New Roman" w:hAnsi="Arial" w:cs="Arial"/>
          <w:sz w:val="24"/>
          <w:szCs w:val="24"/>
          <w:lang w:eastAsia="es-CO"/>
        </w:rPr>
        <w:t>de 2021</w:t>
      </w:r>
      <w:r w:rsidR="00997C37">
        <w:rPr>
          <w:rFonts w:ascii="Arial" w:eastAsia="Times New Roman" w:hAnsi="Arial" w:cs="Arial"/>
          <w:sz w:val="24"/>
          <w:szCs w:val="24"/>
          <w:lang w:eastAsia="es-CO"/>
        </w:rPr>
        <w:t>.</w:t>
      </w:r>
    </w:p>
    <w:p w14:paraId="7A5752D6" w14:textId="77777777" w:rsidR="00830193" w:rsidRDefault="00830193" w:rsidP="00B861AA">
      <w:pPr>
        <w:spacing w:after="0" w:line="240" w:lineRule="auto"/>
        <w:jc w:val="both"/>
        <w:outlineLvl w:val="0"/>
        <w:rPr>
          <w:rFonts w:ascii="Arial" w:eastAsia="Times New Roman" w:hAnsi="Arial" w:cs="Arial"/>
          <w:sz w:val="24"/>
          <w:szCs w:val="24"/>
          <w:lang w:eastAsia="es-CO"/>
        </w:rPr>
      </w:pPr>
    </w:p>
    <w:p w14:paraId="0311DD4C" w14:textId="77777777" w:rsidR="00264C3D" w:rsidRPr="004949D3" w:rsidRDefault="00264C3D" w:rsidP="004949D3">
      <w:pPr>
        <w:spacing w:after="0" w:line="240" w:lineRule="auto"/>
        <w:outlineLvl w:val="0"/>
        <w:rPr>
          <w:rFonts w:ascii="Arial" w:eastAsia="Times New Roman" w:hAnsi="Arial" w:cs="Arial"/>
          <w:sz w:val="24"/>
          <w:szCs w:val="24"/>
          <w:lang w:eastAsia="es-CO"/>
        </w:rPr>
      </w:pPr>
    </w:p>
    <w:p w14:paraId="5F636255" w14:textId="77777777" w:rsidR="00824103" w:rsidRPr="004949D3" w:rsidRDefault="00824103" w:rsidP="004949D3">
      <w:pPr>
        <w:spacing w:after="0" w:line="240" w:lineRule="auto"/>
        <w:outlineLvl w:val="0"/>
        <w:rPr>
          <w:rFonts w:ascii="Arial" w:eastAsia="Times New Roman" w:hAnsi="Arial" w:cs="Arial"/>
          <w:sz w:val="24"/>
          <w:szCs w:val="24"/>
          <w:lang w:eastAsia="es-CO"/>
        </w:rPr>
      </w:pPr>
    </w:p>
    <w:p w14:paraId="02C039CA" w14:textId="77777777" w:rsidR="00D15545" w:rsidRPr="004949D3" w:rsidRDefault="005E2F4B" w:rsidP="004949D3">
      <w:pPr>
        <w:adjustRightInd w:val="0"/>
        <w:spacing w:after="0" w:line="240" w:lineRule="auto"/>
        <w:jc w:val="center"/>
        <w:rPr>
          <w:rFonts w:ascii="Arial" w:hAnsi="Arial" w:cs="Arial"/>
          <w:b/>
          <w:sz w:val="24"/>
          <w:szCs w:val="24"/>
        </w:rPr>
      </w:pPr>
      <w:r w:rsidRPr="004949D3">
        <w:rPr>
          <w:rFonts w:ascii="Arial" w:hAnsi="Arial" w:cs="Arial"/>
          <w:b/>
          <w:sz w:val="24"/>
          <w:szCs w:val="24"/>
        </w:rPr>
        <w:t>NOTIFÍQUESE</w:t>
      </w:r>
      <w:r w:rsidR="00D15545" w:rsidRPr="004949D3">
        <w:rPr>
          <w:rFonts w:ascii="Arial" w:hAnsi="Arial" w:cs="Arial"/>
          <w:b/>
          <w:sz w:val="24"/>
          <w:szCs w:val="24"/>
        </w:rPr>
        <w:t xml:space="preserve"> Y </w:t>
      </w:r>
      <w:r w:rsidRPr="004949D3">
        <w:rPr>
          <w:rFonts w:ascii="Arial" w:hAnsi="Arial" w:cs="Arial"/>
          <w:b/>
          <w:sz w:val="24"/>
          <w:szCs w:val="24"/>
        </w:rPr>
        <w:t>CÚMPLASE</w:t>
      </w:r>
    </w:p>
    <w:p w14:paraId="2375BBDF" w14:textId="77777777" w:rsidR="00D15545" w:rsidRPr="004949D3" w:rsidRDefault="00D15545" w:rsidP="004949D3">
      <w:pPr>
        <w:spacing w:after="0" w:line="240" w:lineRule="auto"/>
        <w:jc w:val="both"/>
        <w:rPr>
          <w:rFonts w:ascii="Arial" w:hAnsi="Arial" w:cs="Arial"/>
          <w:b/>
          <w:sz w:val="24"/>
          <w:szCs w:val="24"/>
        </w:rPr>
      </w:pPr>
    </w:p>
    <w:p w14:paraId="76B52A69" w14:textId="77777777" w:rsidR="00D15545" w:rsidRPr="004949D3" w:rsidRDefault="00D15545" w:rsidP="004949D3">
      <w:pPr>
        <w:spacing w:after="0" w:line="240" w:lineRule="auto"/>
        <w:jc w:val="both"/>
        <w:rPr>
          <w:rFonts w:ascii="Arial" w:hAnsi="Arial" w:cs="Arial"/>
          <w:b/>
          <w:sz w:val="24"/>
          <w:szCs w:val="24"/>
        </w:rPr>
      </w:pPr>
    </w:p>
    <w:p w14:paraId="1F28EB2B" w14:textId="77777777" w:rsidR="001E714E" w:rsidRPr="003E5F11" w:rsidRDefault="00C6348D" w:rsidP="004949D3">
      <w:pPr>
        <w:spacing w:after="0" w:line="240" w:lineRule="auto"/>
        <w:jc w:val="center"/>
        <w:outlineLvl w:val="0"/>
        <w:rPr>
          <w:rFonts w:ascii="Arial" w:hAnsi="Arial" w:cs="Arial"/>
          <w:b/>
          <w:color w:val="000000"/>
          <w:sz w:val="24"/>
        </w:rPr>
      </w:pPr>
      <w:r>
        <w:rPr>
          <w:rFonts w:ascii="Arial" w:hAnsi="Arial" w:cs="Arial"/>
          <w:b/>
          <w:color w:val="000000"/>
          <w:sz w:val="24"/>
        </w:rPr>
        <w:t>(INSERTAR)</w:t>
      </w:r>
    </w:p>
    <w:p w14:paraId="7FD28F2F" w14:textId="77777777" w:rsidR="00D15545" w:rsidRPr="003F656C" w:rsidRDefault="00D60B0E" w:rsidP="004949D3">
      <w:pPr>
        <w:spacing w:after="0" w:line="240" w:lineRule="auto"/>
        <w:jc w:val="center"/>
        <w:outlineLvl w:val="0"/>
        <w:rPr>
          <w:rFonts w:ascii="Arial" w:hAnsi="Arial" w:cs="Arial"/>
          <w:sz w:val="24"/>
          <w:szCs w:val="24"/>
          <w:lang w:val="es-ES"/>
        </w:rPr>
      </w:pPr>
      <w:r>
        <w:rPr>
          <w:rFonts w:ascii="Arial" w:hAnsi="Arial" w:cs="Arial"/>
          <w:sz w:val="24"/>
          <w:szCs w:val="24"/>
          <w:lang w:val="es-ES"/>
        </w:rPr>
        <w:t>Jefe</w:t>
      </w:r>
      <w:r w:rsidR="00D15545" w:rsidRPr="003F656C">
        <w:rPr>
          <w:rFonts w:ascii="Arial" w:hAnsi="Arial" w:cs="Arial"/>
          <w:sz w:val="24"/>
          <w:szCs w:val="24"/>
          <w:lang w:val="es-ES"/>
        </w:rPr>
        <w:t xml:space="preserve"> Oficina de Fiscalización, Control y Cobro Persuasivo</w:t>
      </w:r>
    </w:p>
    <w:p w14:paraId="4BCBF19D" w14:textId="77777777" w:rsidR="00D15545" w:rsidRPr="003F656C" w:rsidRDefault="00D15545" w:rsidP="004949D3">
      <w:pPr>
        <w:spacing w:after="0" w:line="240" w:lineRule="auto"/>
        <w:rPr>
          <w:rFonts w:ascii="Arial" w:hAnsi="Arial" w:cs="Arial"/>
          <w:sz w:val="24"/>
          <w:szCs w:val="24"/>
          <w:lang w:val="es-ES"/>
        </w:rPr>
      </w:pPr>
    </w:p>
    <w:p w14:paraId="6A00F178" w14:textId="77777777" w:rsidR="006E541B" w:rsidRDefault="006E541B" w:rsidP="004949D3">
      <w:pPr>
        <w:spacing w:after="0" w:line="240" w:lineRule="auto"/>
        <w:outlineLvl w:val="0"/>
        <w:rPr>
          <w:rFonts w:ascii="Arial" w:eastAsia="Times New Roman" w:hAnsi="Arial" w:cs="Arial"/>
          <w:sz w:val="20"/>
          <w:szCs w:val="20"/>
          <w:lang w:eastAsia="es-CO"/>
        </w:rPr>
      </w:pPr>
    </w:p>
    <w:p w14:paraId="413C75D7" w14:textId="77777777" w:rsidR="009B6965" w:rsidRPr="006E541B" w:rsidRDefault="006E541B" w:rsidP="004949D3">
      <w:pPr>
        <w:spacing w:after="0" w:line="240" w:lineRule="auto"/>
        <w:outlineLvl w:val="0"/>
        <w:rPr>
          <w:rFonts w:ascii="Arial" w:eastAsia="Times New Roman" w:hAnsi="Arial" w:cs="Arial"/>
          <w:sz w:val="20"/>
          <w:szCs w:val="20"/>
          <w:lang w:eastAsia="es-CO"/>
        </w:rPr>
      </w:pPr>
      <w:r>
        <w:rPr>
          <w:rFonts w:ascii="Arial" w:eastAsia="Times New Roman" w:hAnsi="Arial" w:cs="Arial"/>
          <w:sz w:val="20"/>
          <w:szCs w:val="20"/>
          <w:lang w:eastAsia="es-CO"/>
        </w:rPr>
        <w:t xml:space="preserve">VoBo. </w:t>
      </w:r>
      <w:r w:rsidR="00C6348D">
        <w:rPr>
          <w:rFonts w:ascii="Arial" w:eastAsia="Times New Roman" w:hAnsi="Arial" w:cs="Arial"/>
          <w:sz w:val="20"/>
          <w:szCs w:val="20"/>
          <w:lang w:eastAsia="es-CO"/>
        </w:rPr>
        <w:t>(insertar)</w:t>
      </w:r>
    </w:p>
    <w:p w14:paraId="47818C80" w14:textId="77777777" w:rsidR="006F12B1" w:rsidRPr="004949D3" w:rsidRDefault="006F12B1" w:rsidP="004949D3">
      <w:pPr>
        <w:spacing w:after="0" w:line="240" w:lineRule="auto"/>
        <w:rPr>
          <w:rFonts w:ascii="Arial" w:eastAsia="Times New Roman" w:hAnsi="Arial" w:cs="Arial"/>
          <w:i/>
          <w:sz w:val="20"/>
          <w:lang w:eastAsia="es-CO"/>
        </w:rPr>
      </w:pPr>
    </w:p>
    <w:sectPr w:rsidR="006F12B1" w:rsidRPr="004949D3" w:rsidSect="007B1B97">
      <w:headerReference w:type="even" r:id="rId8"/>
      <w:headerReference w:type="default" r:id="rId9"/>
      <w:footerReference w:type="even" r:id="rId10"/>
      <w:footerReference w:type="default" r:id="rId11"/>
      <w:headerReference w:type="first" r:id="rId12"/>
      <w:footerReference w:type="first" r:id="rId13"/>
      <w:pgSz w:w="12242" w:h="18722" w:code="1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A8FBF" w14:textId="77777777" w:rsidR="00E9677B" w:rsidRDefault="00E9677B" w:rsidP="009422F0">
      <w:pPr>
        <w:spacing w:after="0" w:line="240" w:lineRule="auto"/>
      </w:pPr>
      <w:r>
        <w:separator/>
      </w:r>
    </w:p>
  </w:endnote>
  <w:endnote w:type="continuationSeparator" w:id="0">
    <w:p w14:paraId="0234B14C" w14:textId="77777777" w:rsidR="00E9677B" w:rsidRDefault="00E9677B"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F4CDD" w14:textId="77777777" w:rsidR="00B4381C" w:rsidRDefault="00B438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FB01" w14:textId="77777777" w:rsidR="007B1B97" w:rsidRPr="00B724CC" w:rsidRDefault="007B1B97" w:rsidP="00B724CC">
    <w:pPr>
      <w:pStyle w:val="Piedepgina"/>
      <w:jc w:val="right"/>
      <w:rPr>
        <w:rFonts w:ascii="Arial" w:hAnsi="Arial" w:cs="Arial"/>
        <w:b/>
        <w:sz w:val="20"/>
        <w:szCs w:val="20"/>
      </w:rPr>
    </w:pPr>
    <w:r w:rsidRPr="007B1B97">
      <w:rPr>
        <w:rFonts w:ascii="Arial" w:hAnsi="Arial" w:cs="Arial"/>
        <w:b/>
        <w:sz w:val="20"/>
        <w:szCs w:val="20"/>
        <w:lang w:val="es-ES"/>
      </w:rPr>
      <w:t xml:space="preserve">Página </w:t>
    </w:r>
    <w:r w:rsidRPr="007B1B97">
      <w:rPr>
        <w:rFonts w:ascii="Arial" w:hAnsi="Arial" w:cs="Arial"/>
        <w:b/>
        <w:bCs/>
        <w:sz w:val="20"/>
        <w:szCs w:val="20"/>
      </w:rPr>
      <w:fldChar w:fldCharType="begin"/>
    </w:r>
    <w:r w:rsidRPr="007B1B97">
      <w:rPr>
        <w:rFonts w:ascii="Arial" w:hAnsi="Arial" w:cs="Arial"/>
        <w:b/>
        <w:bCs/>
        <w:sz w:val="20"/>
        <w:szCs w:val="20"/>
      </w:rPr>
      <w:instrText>PAGE</w:instrText>
    </w:r>
    <w:r w:rsidRPr="007B1B97">
      <w:rPr>
        <w:rFonts w:ascii="Arial" w:hAnsi="Arial" w:cs="Arial"/>
        <w:b/>
        <w:bCs/>
        <w:sz w:val="20"/>
        <w:szCs w:val="20"/>
      </w:rPr>
      <w:fldChar w:fldCharType="separate"/>
    </w:r>
    <w:r w:rsidR="00753963">
      <w:rPr>
        <w:rFonts w:ascii="Arial" w:hAnsi="Arial" w:cs="Arial"/>
        <w:b/>
        <w:bCs/>
        <w:noProof/>
        <w:sz w:val="20"/>
        <w:szCs w:val="20"/>
      </w:rPr>
      <w:t>2</w:t>
    </w:r>
    <w:r w:rsidRPr="007B1B97">
      <w:rPr>
        <w:rFonts w:ascii="Arial" w:hAnsi="Arial" w:cs="Arial"/>
        <w:b/>
        <w:bCs/>
        <w:sz w:val="20"/>
        <w:szCs w:val="20"/>
      </w:rPr>
      <w:fldChar w:fldCharType="end"/>
    </w:r>
    <w:r w:rsidRPr="007B1B97">
      <w:rPr>
        <w:rFonts w:ascii="Arial" w:hAnsi="Arial" w:cs="Arial"/>
        <w:b/>
        <w:sz w:val="20"/>
        <w:szCs w:val="20"/>
        <w:lang w:val="es-ES"/>
      </w:rPr>
      <w:t xml:space="preserve"> de </w:t>
    </w:r>
    <w:r w:rsidRPr="007B1B97">
      <w:rPr>
        <w:rFonts w:ascii="Arial" w:hAnsi="Arial" w:cs="Arial"/>
        <w:b/>
        <w:bCs/>
        <w:sz w:val="20"/>
        <w:szCs w:val="20"/>
      </w:rPr>
      <w:fldChar w:fldCharType="begin"/>
    </w:r>
    <w:r w:rsidRPr="007B1B97">
      <w:rPr>
        <w:rFonts w:ascii="Arial" w:hAnsi="Arial" w:cs="Arial"/>
        <w:b/>
        <w:bCs/>
        <w:sz w:val="20"/>
        <w:szCs w:val="20"/>
      </w:rPr>
      <w:instrText>NUMPAGES</w:instrText>
    </w:r>
    <w:r w:rsidRPr="007B1B97">
      <w:rPr>
        <w:rFonts w:ascii="Arial" w:hAnsi="Arial" w:cs="Arial"/>
        <w:b/>
        <w:bCs/>
        <w:sz w:val="20"/>
        <w:szCs w:val="20"/>
      </w:rPr>
      <w:fldChar w:fldCharType="separate"/>
    </w:r>
    <w:r w:rsidR="00753963">
      <w:rPr>
        <w:rFonts w:ascii="Arial" w:hAnsi="Arial" w:cs="Arial"/>
        <w:b/>
        <w:bCs/>
        <w:noProof/>
        <w:sz w:val="20"/>
        <w:szCs w:val="20"/>
      </w:rPr>
      <w:t>3</w:t>
    </w:r>
    <w:r w:rsidRPr="007B1B97">
      <w:rPr>
        <w:rFonts w:ascii="Arial" w:hAnsi="Arial" w:cs="Arial"/>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4181" w14:textId="77777777" w:rsidR="00B4381C" w:rsidRDefault="00B438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D9EA1" w14:textId="77777777" w:rsidR="00E9677B" w:rsidRDefault="00E9677B" w:rsidP="009422F0">
      <w:pPr>
        <w:spacing w:after="0" w:line="240" w:lineRule="auto"/>
      </w:pPr>
      <w:r>
        <w:separator/>
      </w:r>
    </w:p>
  </w:footnote>
  <w:footnote w:type="continuationSeparator" w:id="0">
    <w:p w14:paraId="0C9B0E07" w14:textId="77777777" w:rsidR="00E9677B" w:rsidRDefault="00E9677B" w:rsidP="00942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9E866" w14:textId="77777777" w:rsidR="00B4381C" w:rsidRDefault="00B438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4780"/>
      <w:gridCol w:w="2820"/>
    </w:tblGrid>
    <w:tr w:rsidR="00A53C0B" w14:paraId="22E42DD0" w14:textId="77777777" w:rsidTr="00A53C0B">
      <w:trPr>
        <w:cantSplit/>
        <w:trHeight w:val="475"/>
      </w:trPr>
      <w:tc>
        <w:tcPr>
          <w:tcW w:w="2364" w:type="dxa"/>
          <w:vMerge w:val="restart"/>
          <w:tcBorders>
            <w:top w:val="single" w:sz="4" w:space="0" w:color="auto"/>
            <w:left w:val="single" w:sz="4" w:space="0" w:color="auto"/>
            <w:bottom w:val="single" w:sz="4" w:space="0" w:color="auto"/>
            <w:right w:val="single" w:sz="4" w:space="0" w:color="auto"/>
          </w:tcBorders>
          <w:vAlign w:val="center"/>
          <w:hideMark/>
        </w:tcPr>
        <w:p w14:paraId="451F8E9D" w14:textId="2ED869E3" w:rsidR="00A53C0B" w:rsidRDefault="00B4381C" w:rsidP="00A53C0B">
          <w:pPr>
            <w:pStyle w:val="Encabezado"/>
            <w:jc w:val="center"/>
            <w:rPr>
              <w:rFonts w:ascii="Arial" w:hAnsi="Arial" w:cs="Arial"/>
              <w:b/>
            </w:rPr>
          </w:pPr>
          <w:bookmarkStart w:id="0" w:name="_GoBack"/>
          <w:bookmarkEnd w:id="0"/>
          <w:r>
            <w:rPr>
              <w:noProof/>
              <w:lang w:eastAsia="es-CO"/>
            </w:rPr>
            <w:drawing>
              <wp:inline distT="0" distB="0" distL="0" distR="0" wp14:anchorId="3F62EB67" wp14:editId="50EDA243">
                <wp:extent cx="1000125" cy="777875"/>
                <wp:effectExtent l="0" t="0" r="9525" b="3175"/>
                <wp:docPr id="1" name="Imagen 1" descr="E:\usuario-32275166\Desktop\Logo Institucional\Logo para Formatos Calidad.png"/>
                <wp:cNvGraphicFramePr/>
                <a:graphic xmlns:a="http://schemas.openxmlformats.org/drawingml/2006/main">
                  <a:graphicData uri="http://schemas.openxmlformats.org/drawingml/2006/picture">
                    <pic:pic xmlns:pic="http://schemas.openxmlformats.org/drawingml/2006/picture">
                      <pic:nvPicPr>
                        <pic:cNvPr id="1" name="Imagen 1" descr="E:\usuario-32275166\Desktop\Logo Institucional\Logo para Formatos Calida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77875"/>
                        </a:xfrm>
                        <a:prstGeom prst="rect">
                          <a:avLst/>
                        </a:prstGeom>
                        <a:noFill/>
                        <a:ln>
                          <a:noFill/>
                        </a:ln>
                      </pic:spPr>
                    </pic:pic>
                  </a:graphicData>
                </a:graphic>
              </wp:inline>
            </w:drawing>
          </w:r>
        </w:p>
      </w:tc>
      <w:tc>
        <w:tcPr>
          <w:tcW w:w="4780" w:type="dxa"/>
          <w:vMerge w:val="restart"/>
          <w:tcBorders>
            <w:top w:val="single" w:sz="4" w:space="0" w:color="auto"/>
            <w:left w:val="single" w:sz="4" w:space="0" w:color="auto"/>
            <w:bottom w:val="single" w:sz="4" w:space="0" w:color="auto"/>
            <w:right w:val="single" w:sz="4" w:space="0" w:color="auto"/>
          </w:tcBorders>
          <w:vAlign w:val="center"/>
          <w:hideMark/>
        </w:tcPr>
        <w:p w14:paraId="66AEF4C6" w14:textId="77777777" w:rsidR="00A53C0B" w:rsidRPr="00AA5263" w:rsidRDefault="00A53C0B" w:rsidP="00B724CC">
          <w:pPr>
            <w:pStyle w:val="Sinespaciado"/>
            <w:jc w:val="center"/>
            <w:rPr>
              <w:rFonts w:ascii="Arial" w:hAnsi="Arial" w:cs="Arial"/>
              <w:b/>
              <w:noProof/>
              <w:lang w:eastAsia="es-CO"/>
            </w:rPr>
          </w:pPr>
          <w:r>
            <w:rPr>
              <w:rFonts w:ascii="Arial" w:hAnsi="Arial" w:cs="Arial"/>
              <w:b/>
              <w:noProof/>
              <w:lang w:eastAsia="es-CO"/>
            </w:rPr>
            <w:t>RECURSO DE REPOSICIÓN POR AUTO DECLARATIVO</w:t>
          </w:r>
        </w:p>
      </w:tc>
      <w:tc>
        <w:tcPr>
          <w:tcW w:w="2820" w:type="dxa"/>
          <w:tcBorders>
            <w:top w:val="single" w:sz="4" w:space="0" w:color="auto"/>
            <w:left w:val="single" w:sz="4" w:space="0" w:color="auto"/>
            <w:bottom w:val="single" w:sz="4" w:space="0" w:color="auto"/>
            <w:right w:val="single" w:sz="4" w:space="0" w:color="auto"/>
          </w:tcBorders>
          <w:vAlign w:val="center"/>
        </w:tcPr>
        <w:p w14:paraId="60F144AB" w14:textId="77777777" w:rsidR="00A53C0B" w:rsidRPr="00B724CC" w:rsidRDefault="00A53C0B" w:rsidP="00A53C0B">
          <w:pPr>
            <w:pStyle w:val="Encabezado"/>
            <w:rPr>
              <w:rFonts w:ascii="Arial" w:hAnsi="Arial" w:cs="Arial"/>
              <w:b/>
              <w:sz w:val="20"/>
              <w:szCs w:val="20"/>
            </w:rPr>
          </w:pPr>
          <w:r w:rsidRPr="00B724CC">
            <w:rPr>
              <w:rFonts w:ascii="Arial" w:hAnsi="Arial" w:cs="Arial"/>
              <w:b/>
              <w:sz w:val="20"/>
              <w:szCs w:val="20"/>
            </w:rPr>
            <w:t>Código: FO-HM-28</w:t>
          </w:r>
        </w:p>
      </w:tc>
    </w:tr>
    <w:tr w:rsidR="00A53C0B" w14:paraId="279A1FF3" w14:textId="77777777" w:rsidTr="00A53C0B">
      <w:trPr>
        <w:trHeight w:val="475"/>
      </w:trPr>
      <w:tc>
        <w:tcPr>
          <w:tcW w:w="2364" w:type="dxa"/>
          <w:vMerge/>
          <w:tcBorders>
            <w:top w:val="single" w:sz="4" w:space="0" w:color="auto"/>
            <w:left w:val="single" w:sz="4" w:space="0" w:color="auto"/>
            <w:bottom w:val="single" w:sz="4" w:space="0" w:color="auto"/>
            <w:right w:val="single" w:sz="4" w:space="0" w:color="auto"/>
          </w:tcBorders>
          <w:vAlign w:val="center"/>
          <w:hideMark/>
        </w:tcPr>
        <w:p w14:paraId="26BE484D" w14:textId="77777777" w:rsidR="00A53C0B" w:rsidRDefault="00A53C0B" w:rsidP="00A53C0B">
          <w:pPr>
            <w:rPr>
              <w:rFonts w:ascii="Arial" w:hAnsi="Arial" w:cs="Arial"/>
              <w:b/>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14:paraId="6CE86D3D" w14:textId="77777777" w:rsidR="00A53C0B" w:rsidRPr="00AA5263" w:rsidRDefault="00A53C0B" w:rsidP="00A53C0B">
          <w:pPr>
            <w:rPr>
              <w:rFonts w:ascii="Arial" w:hAnsi="Arial" w:cs="Arial"/>
              <w:b/>
            </w:rPr>
          </w:pPr>
        </w:p>
      </w:tc>
      <w:tc>
        <w:tcPr>
          <w:tcW w:w="2820" w:type="dxa"/>
          <w:tcBorders>
            <w:top w:val="single" w:sz="4" w:space="0" w:color="auto"/>
            <w:left w:val="single" w:sz="4" w:space="0" w:color="auto"/>
            <w:bottom w:val="single" w:sz="4" w:space="0" w:color="auto"/>
            <w:right w:val="single" w:sz="4" w:space="0" w:color="auto"/>
          </w:tcBorders>
          <w:vAlign w:val="center"/>
        </w:tcPr>
        <w:p w14:paraId="2BB3B100" w14:textId="14FDC84E" w:rsidR="00A53C0B" w:rsidRPr="00B724CC" w:rsidRDefault="00A53C0B" w:rsidP="00A53C0B">
          <w:pPr>
            <w:pStyle w:val="Encabezado"/>
            <w:rPr>
              <w:rFonts w:ascii="Arial" w:hAnsi="Arial" w:cs="Arial"/>
              <w:b/>
              <w:sz w:val="20"/>
              <w:szCs w:val="20"/>
            </w:rPr>
          </w:pPr>
          <w:r w:rsidRPr="00B724CC">
            <w:rPr>
              <w:rFonts w:ascii="Arial" w:hAnsi="Arial" w:cs="Arial"/>
              <w:b/>
              <w:sz w:val="20"/>
              <w:szCs w:val="20"/>
            </w:rPr>
            <w:t>Versión: 0</w:t>
          </w:r>
          <w:r w:rsidR="00050EB0">
            <w:rPr>
              <w:rFonts w:ascii="Arial" w:hAnsi="Arial" w:cs="Arial"/>
              <w:b/>
              <w:sz w:val="20"/>
              <w:szCs w:val="20"/>
            </w:rPr>
            <w:t>3</w:t>
          </w:r>
        </w:p>
      </w:tc>
    </w:tr>
    <w:tr w:rsidR="00A53C0B" w14:paraId="07611F48" w14:textId="77777777" w:rsidTr="00A53C0B">
      <w:trPr>
        <w:trHeight w:val="475"/>
      </w:trPr>
      <w:tc>
        <w:tcPr>
          <w:tcW w:w="2364" w:type="dxa"/>
          <w:vMerge/>
          <w:tcBorders>
            <w:top w:val="single" w:sz="4" w:space="0" w:color="auto"/>
            <w:left w:val="single" w:sz="4" w:space="0" w:color="auto"/>
            <w:bottom w:val="single" w:sz="4" w:space="0" w:color="auto"/>
            <w:right w:val="single" w:sz="4" w:space="0" w:color="auto"/>
          </w:tcBorders>
          <w:vAlign w:val="center"/>
          <w:hideMark/>
        </w:tcPr>
        <w:p w14:paraId="5EC863AC" w14:textId="77777777" w:rsidR="00A53C0B" w:rsidRDefault="00A53C0B" w:rsidP="00A53C0B">
          <w:pPr>
            <w:rPr>
              <w:rFonts w:ascii="Arial" w:hAnsi="Arial" w:cs="Arial"/>
              <w:b/>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14:paraId="48A4B8BE" w14:textId="77777777" w:rsidR="00A53C0B" w:rsidRPr="00AA5263" w:rsidRDefault="00A53C0B" w:rsidP="00A53C0B">
          <w:pPr>
            <w:rPr>
              <w:rFonts w:ascii="Arial" w:hAnsi="Arial" w:cs="Arial"/>
              <w:b/>
            </w:rPr>
          </w:pPr>
        </w:p>
      </w:tc>
      <w:tc>
        <w:tcPr>
          <w:tcW w:w="2820" w:type="dxa"/>
          <w:tcBorders>
            <w:top w:val="single" w:sz="4" w:space="0" w:color="auto"/>
            <w:left w:val="single" w:sz="4" w:space="0" w:color="auto"/>
            <w:bottom w:val="single" w:sz="4" w:space="0" w:color="auto"/>
            <w:right w:val="single" w:sz="4" w:space="0" w:color="auto"/>
          </w:tcBorders>
          <w:vAlign w:val="center"/>
        </w:tcPr>
        <w:p w14:paraId="72502324" w14:textId="54D6E7F1" w:rsidR="00A53C0B" w:rsidRPr="00B724CC" w:rsidRDefault="00A53C0B" w:rsidP="00A53C0B">
          <w:pPr>
            <w:pStyle w:val="Encabezado"/>
            <w:rPr>
              <w:rFonts w:ascii="Arial" w:hAnsi="Arial" w:cs="Arial"/>
              <w:b/>
              <w:sz w:val="20"/>
              <w:szCs w:val="20"/>
            </w:rPr>
          </w:pPr>
          <w:r w:rsidRPr="00B724CC">
            <w:rPr>
              <w:rFonts w:ascii="Arial" w:hAnsi="Arial" w:cs="Arial"/>
              <w:b/>
              <w:sz w:val="20"/>
              <w:szCs w:val="20"/>
            </w:rPr>
            <w:t xml:space="preserve">Fecha de Actualización: </w:t>
          </w:r>
          <w:r w:rsidR="00050EB0">
            <w:rPr>
              <w:rFonts w:ascii="Arial" w:hAnsi="Arial" w:cs="Arial"/>
              <w:b/>
              <w:sz w:val="20"/>
              <w:szCs w:val="20"/>
            </w:rPr>
            <w:t>17</w:t>
          </w:r>
          <w:r w:rsidRPr="00B724CC">
            <w:rPr>
              <w:rFonts w:ascii="Arial" w:hAnsi="Arial" w:cs="Arial"/>
              <w:b/>
              <w:sz w:val="20"/>
              <w:szCs w:val="20"/>
            </w:rPr>
            <w:t>/</w:t>
          </w:r>
          <w:r w:rsidR="00050EB0">
            <w:rPr>
              <w:rFonts w:ascii="Arial" w:hAnsi="Arial" w:cs="Arial"/>
              <w:b/>
              <w:sz w:val="20"/>
              <w:szCs w:val="20"/>
            </w:rPr>
            <w:t>05</w:t>
          </w:r>
          <w:r w:rsidRPr="00B724CC">
            <w:rPr>
              <w:rFonts w:ascii="Arial" w:hAnsi="Arial" w:cs="Arial"/>
              <w:b/>
              <w:sz w:val="20"/>
              <w:szCs w:val="20"/>
            </w:rPr>
            <w:t>/202</w:t>
          </w:r>
          <w:r w:rsidR="00050EB0">
            <w:rPr>
              <w:rFonts w:ascii="Arial" w:hAnsi="Arial" w:cs="Arial"/>
              <w:b/>
              <w:sz w:val="20"/>
              <w:szCs w:val="20"/>
            </w:rPr>
            <w:t>2</w:t>
          </w:r>
        </w:p>
      </w:tc>
    </w:tr>
  </w:tbl>
  <w:p w14:paraId="33F9C2BB" w14:textId="77777777" w:rsidR="00606F4C" w:rsidRDefault="00606F4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E1E0" w14:textId="77777777" w:rsidR="00B4381C" w:rsidRDefault="00B438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EE01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6A2E3C"/>
    <w:multiLevelType w:val="hybridMultilevel"/>
    <w:tmpl w:val="F9A61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B325208"/>
    <w:multiLevelType w:val="hybridMultilevel"/>
    <w:tmpl w:val="00785E4E"/>
    <w:lvl w:ilvl="0" w:tplc="BD702208">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F0"/>
    <w:rsid w:val="00004982"/>
    <w:rsid w:val="0000618B"/>
    <w:rsid w:val="000327B6"/>
    <w:rsid w:val="00034F5F"/>
    <w:rsid w:val="00044F4E"/>
    <w:rsid w:val="00050EB0"/>
    <w:rsid w:val="00083128"/>
    <w:rsid w:val="000838EF"/>
    <w:rsid w:val="00090160"/>
    <w:rsid w:val="00094737"/>
    <w:rsid w:val="000A36B3"/>
    <w:rsid w:val="0014151A"/>
    <w:rsid w:val="001464BC"/>
    <w:rsid w:val="0015095C"/>
    <w:rsid w:val="0016001A"/>
    <w:rsid w:val="00166823"/>
    <w:rsid w:val="00182FA3"/>
    <w:rsid w:val="00195AC9"/>
    <w:rsid w:val="001B5936"/>
    <w:rsid w:val="001E2C50"/>
    <w:rsid w:val="001E6746"/>
    <w:rsid w:val="001E714E"/>
    <w:rsid w:val="00215BE4"/>
    <w:rsid w:val="0022356F"/>
    <w:rsid w:val="00242F05"/>
    <w:rsid w:val="00247F3D"/>
    <w:rsid w:val="002577A1"/>
    <w:rsid w:val="00264C3D"/>
    <w:rsid w:val="00265AF6"/>
    <w:rsid w:val="002717EC"/>
    <w:rsid w:val="00280D16"/>
    <w:rsid w:val="002E05BE"/>
    <w:rsid w:val="003042AA"/>
    <w:rsid w:val="00310437"/>
    <w:rsid w:val="0031286B"/>
    <w:rsid w:val="00313072"/>
    <w:rsid w:val="00352C60"/>
    <w:rsid w:val="00373255"/>
    <w:rsid w:val="00387A34"/>
    <w:rsid w:val="0039397B"/>
    <w:rsid w:val="003E3AC5"/>
    <w:rsid w:val="003E5F11"/>
    <w:rsid w:val="003F656C"/>
    <w:rsid w:val="00405FF8"/>
    <w:rsid w:val="00406324"/>
    <w:rsid w:val="00410B07"/>
    <w:rsid w:val="00421689"/>
    <w:rsid w:val="00452432"/>
    <w:rsid w:val="00470D61"/>
    <w:rsid w:val="00475308"/>
    <w:rsid w:val="004765A0"/>
    <w:rsid w:val="004948B0"/>
    <w:rsid w:val="00494925"/>
    <w:rsid w:val="004949D3"/>
    <w:rsid w:val="00495BF2"/>
    <w:rsid w:val="004C773B"/>
    <w:rsid w:val="004D01D0"/>
    <w:rsid w:val="005271B4"/>
    <w:rsid w:val="00536B4C"/>
    <w:rsid w:val="0057452D"/>
    <w:rsid w:val="00591F46"/>
    <w:rsid w:val="005D2A96"/>
    <w:rsid w:val="005E2786"/>
    <w:rsid w:val="005E2F4B"/>
    <w:rsid w:val="005F017C"/>
    <w:rsid w:val="00606F4C"/>
    <w:rsid w:val="006073C9"/>
    <w:rsid w:val="00613E71"/>
    <w:rsid w:val="006178D8"/>
    <w:rsid w:val="00626410"/>
    <w:rsid w:val="00662417"/>
    <w:rsid w:val="00672EDB"/>
    <w:rsid w:val="006971C8"/>
    <w:rsid w:val="006A2D96"/>
    <w:rsid w:val="006B0B67"/>
    <w:rsid w:val="006D73C2"/>
    <w:rsid w:val="006E4B40"/>
    <w:rsid w:val="006E541B"/>
    <w:rsid w:val="006F12B1"/>
    <w:rsid w:val="006F25B5"/>
    <w:rsid w:val="00703E54"/>
    <w:rsid w:val="00706EC2"/>
    <w:rsid w:val="00721CD5"/>
    <w:rsid w:val="00726D43"/>
    <w:rsid w:val="00736885"/>
    <w:rsid w:val="00753963"/>
    <w:rsid w:val="00770796"/>
    <w:rsid w:val="00772616"/>
    <w:rsid w:val="007853DE"/>
    <w:rsid w:val="007953BD"/>
    <w:rsid w:val="00797F3B"/>
    <w:rsid w:val="007B1B97"/>
    <w:rsid w:val="007C4D35"/>
    <w:rsid w:val="007E45BA"/>
    <w:rsid w:val="007F3C7F"/>
    <w:rsid w:val="007F7795"/>
    <w:rsid w:val="00804FC7"/>
    <w:rsid w:val="00812CF3"/>
    <w:rsid w:val="0081472C"/>
    <w:rsid w:val="00824103"/>
    <w:rsid w:val="00830193"/>
    <w:rsid w:val="008335CD"/>
    <w:rsid w:val="00846C9B"/>
    <w:rsid w:val="0084756E"/>
    <w:rsid w:val="008617BC"/>
    <w:rsid w:val="00872948"/>
    <w:rsid w:val="008C060F"/>
    <w:rsid w:val="009070E6"/>
    <w:rsid w:val="00916E23"/>
    <w:rsid w:val="009422F0"/>
    <w:rsid w:val="00957B96"/>
    <w:rsid w:val="0097627B"/>
    <w:rsid w:val="0098094E"/>
    <w:rsid w:val="00985F24"/>
    <w:rsid w:val="00993D2A"/>
    <w:rsid w:val="00997C37"/>
    <w:rsid w:val="009A2615"/>
    <w:rsid w:val="009B5D4F"/>
    <w:rsid w:val="009B6965"/>
    <w:rsid w:val="009B7A40"/>
    <w:rsid w:val="009C7018"/>
    <w:rsid w:val="009D55D8"/>
    <w:rsid w:val="009E1645"/>
    <w:rsid w:val="009E2795"/>
    <w:rsid w:val="009E2C90"/>
    <w:rsid w:val="009E4ADB"/>
    <w:rsid w:val="009E4E2A"/>
    <w:rsid w:val="00A03CD1"/>
    <w:rsid w:val="00A0461F"/>
    <w:rsid w:val="00A12A9A"/>
    <w:rsid w:val="00A14128"/>
    <w:rsid w:val="00A37622"/>
    <w:rsid w:val="00A53C0B"/>
    <w:rsid w:val="00A757CC"/>
    <w:rsid w:val="00A94DB5"/>
    <w:rsid w:val="00A9644C"/>
    <w:rsid w:val="00A96F3A"/>
    <w:rsid w:val="00AA11F3"/>
    <w:rsid w:val="00AD0E5E"/>
    <w:rsid w:val="00AD23E2"/>
    <w:rsid w:val="00AE09C5"/>
    <w:rsid w:val="00AE2F06"/>
    <w:rsid w:val="00AF112E"/>
    <w:rsid w:val="00AF759D"/>
    <w:rsid w:val="00B0671F"/>
    <w:rsid w:val="00B17B60"/>
    <w:rsid w:val="00B25777"/>
    <w:rsid w:val="00B36269"/>
    <w:rsid w:val="00B4381C"/>
    <w:rsid w:val="00B4788E"/>
    <w:rsid w:val="00B665AE"/>
    <w:rsid w:val="00B724CC"/>
    <w:rsid w:val="00B861AA"/>
    <w:rsid w:val="00BA1137"/>
    <w:rsid w:val="00BA1145"/>
    <w:rsid w:val="00BB62A0"/>
    <w:rsid w:val="00BC15BD"/>
    <w:rsid w:val="00BC71C8"/>
    <w:rsid w:val="00BE0C03"/>
    <w:rsid w:val="00C07534"/>
    <w:rsid w:val="00C31757"/>
    <w:rsid w:val="00C33073"/>
    <w:rsid w:val="00C33B05"/>
    <w:rsid w:val="00C54608"/>
    <w:rsid w:val="00C6348D"/>
    <w:rsid w:val="00C639A9"/>
    <w:rsid w:val="00C86CDA"/>
    <w:rsid w:val="00C90F44"/>
    <w:rsid w:val="00C96F01"/>
    <w:rsid w:val="00CE1D0A"/>
    <w:rsid w:val="00D15545"/>
    <w:rsid w:val="00D26AF7"/>
    <w:rsid w:val="00D60B0E"/>
    <w:rsid w:val="00D656BA"/>
    <w:rsid w:val="00D91CFA"/>
    <w:rsid w:val="00DA6412"/>
    <w:rsid w:val="00DC1945"/>
    <w:rsid w:val="00DC7580"/>
    <w:rsid w:val="00DC7C9A"/>
    <w:rsid w:val="00E10B43"/>
    <w:rsid w:val="00E11F94"/>
    <w:rsid w:val="00E23F55"/>
    <w:rsid w:val="00E40502"/>
    <w:rsid w:val="00E551D5"/>
    <w:rsid w:val="00E77086"/>
    <w:rsid w:val="00E837D8"/>
    <w:rsid w:val="00E87459"/>
    <w:rsid w:val="00E9677B"/>
    <w:rsid w:val="00EA0A68"/>
    <w:rsid w:val="00EB4DC7"/>
    <w:rsid w:val="00EB6D7D"/>
    <w:rsid w:val="00ED71C3"/>
    <w:rsid w:val="00EE4127"/>
    <w:rsid w:val="00F0449F"/>
    <w:rsid w:val="00F322E0"/>
    <w:rsid w:val="00F61C48"/>
    <w:rsid w:val="00F854B9"/>
    <w:rsid w:val="00F862F0"/>
    <w:rsid w:val="00F92174"/>
    <w:rsid w:val="00FA31D2"/>
    <w:rsid w:val="00FA78BD"/>
    <w:rsid w:val="00FB268F"/>
    <w:rsid w:val="00FE5886"/>
    <w:rsid w:val="00FF0C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0BCA6"/>
  <w15:chartTrackingRefBased/>
  <w15:docId w15:val="{AFB4779E-00AB-4BE4-8D9E-E5439B85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422F0"/>
    <w:rPr>
      <w:rFonts w:ascii="Tahoma" w:hAnsi="Tahoma" w:cs="Tahoma"/>
      <w:sz w:val="16"/>
      <w:szCs w:val="16"/>
    </w:rPr>
  </w:style>
  <w:style w:type="paragraph" w:customStyle="1" w:styleId="Default">
    <w:name w:val="Default"/>
    <w:rsid w:val="006971C8"/>
    <w:pPr>
      <w:autoSpaceDE w:val="0"/>
      <w:autoSpaceDN w:val="0"/>
      <w:adjustRightInd w:val="0"/>
    </w:pPr>
    <w:rPr>
      <w:rFonts w:ascii="Corbel" w:hAnsi="Corbel" w:cs="Corbel"/>
      <w:color w:val="000000"/>
      <w:sz w:val="24"/>
      <w:szCs w:val="24"/>
    </w:rPr>
  </w:style>
  <w:style w:type="paragraph" w:styleId="NormalWeb">
    <w:name w:val="Normal (Web)"/>
    <w:basedOn w:val="Normal"/>
    <w:uiPriority w:val="99"/>
    <w:unhideWhenUsed/>
    <w:rsid w:val="00E11F94"/>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link w:val="SinespaciadoCar"/>
    <w:uiPriority w:val="1"/>
    <w:qFormat/>
    <w:rsid w:val="001E714E"/>
    <w:rPr>
      <w:sz w:val="22"/>
      <w:szCs w:val="22"/>
      <w:lang w:eastAsia="en-US"/>
    </w:rPr>
  </w:style>
  <w:style w:type="paragraph" w:customStyle="1" w:styleId="Cuadrculamedia21">
    <w:name w:val="Cuadrícula media 21"/>
    <w:uiPriority w:val="1"/>
    <w:qFormat/>
    <w:rsid w:val="00A37622"/>
    <w:rPr>
      <w:sz w:val="22"/>
      <w:szCs w:val="22"/>
      <w:lang w:val="es-ES" w:eastAsia="en-US"/>
    </w:rPr>
  </w:style>
  <w:style w:type="character" w:customStyle="1" w:styleId="apple-converted-space">
    <w:name w:val="apple-converted-space"/>
    <w:rsid w:val="00E10B43"/>
  </w:style>
  <w:style w:type="character" w:styleId="Textoennegrita">
    <w:name w:val="Strong"/>
    <w:uiPriority w:val="22"/>
    <w:qFormat/>
    <w:rsid w:val="00E10B43"/>
    <w:rPr>
      <w:b/>
      <w:bCs/>
    </w:rPr>
  </w:style>
  <w:style w:type="table" w:styleId="Tablaconcuadrcula">
    <w:name w:val="Table Grid"/>
    <w:basedOn w:val="Tablanormal"/>
    <w:uiPriority w:val="59"/>
    <w:rsid w:val="00770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310437"/>
    <w:rPr>
      <w:sz w:val="22"/>
      <w:szCs w:val="22"/>
      <w:lang w:eastAsia="en-US"/>
    </w:rPr>
  </w:style>
  <w:style w:type="paragraph" w:styleId="Descripcin">
    <w:name w:val="caption"/>
    <w:basedOn w:val="Normal"/>
    <w:next w:val="Normal"/>
    <w:uiPriority w:val="99"/>
    <w:unhideWhenUsed/>
    <w:qFormat/>
    <w:rsid w:val="00310437"/>
    <w:pPr>
      <w:spacing w:line="240" w:lineRule="auto"/>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74487">
      <w:bodyDiv w:val="1"/>
      <w:marLeft w:val="0"/>
      <w:marRight w:val="0"/>
      <w:marTop w:val="0"/>
      <w:marBottom w:val="0"/>
      <w:divBdr>
        <w:top w:val="none" w:sz="0" w:space="0" w:color="auto"/>
        <w:left w:val="none" w:sz="0" w:space="0" w:color="auto"/>
        <w:bottom w:val="none" w:sz="0" w:space="0" w:color="auto"/>
        <w:right w:val="none" w:sz="0" w:space="0" w:color="auto"/>
      </w:divBdr>
    </w:div>
    <w:div w:id="1221550641">
      <w:bodyDiv w:val="1"/>
      <w:marLeft w:val="0"/>
      <w:marRight w:val="0"/>
      <w:marTop w:val="0"/>
      <w:marBottom w:val="0"/>
      <w:divBdr>
        <w:top w:val="none" w:sz="0" w:space="0" w:color="auto"/>
        <w:left w:val="none" w:sz="0" w:space="0" w:color="auto"/>
        <w:bottom w:val="none" w:sz="0" w:space="0" w:color="auto"/>
        <w:right w:val="none" w:sz="0" w:space="0" w:color="auto"/>
      </w:divBdr>
      <w:divsChild>
        <w:div w:id="2052074057">
          <w:marLeft w:val="0"/>
          <w:marRight w:val="0"/>
          <w:marTop w:val="0"/>
          <w:marBottom w:val="0"/>
          <w:divBdr>
            <w:top w:val="none" w:sz="0" w:space="0" w:color="auto"/>
            <w:left w:val="none" w:sz="0" w:space="0" w:color="auto"/>
            <w:bottom w:val="none" w:sz="0" w:space="0" w:color="auto"/>
            <w:right w:val="none" w:sz="0" w:space="0" w:color="auto"/>
          </w:divBdr>
          <w:divsChild>
            <w:div w:id="14897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09673">
      <w:bodyDiv w:val="1"/>
      <w:marLeft w:val="0"/>
      <w:marRight w:val="0"/>
      <w:marTop w:val="0"/>
      <w:marBottom w:val="0"/>
      <w:divBdr>
        <w:top w:val="none" w:sz="0" w:space="0" w:color="auto"/>
        <w:left w:val="none" w:sz="0" w:space="0" w:color="auto"/>
        <w:bottom w:val="none" w:sz="0" w:space="0" w:color="auto"/>
        <w:right w:val="none" w:sz="0" w:space="0" w:color="auto"/>
      </w:divBdr>
    </w:div>
    <w:div w:id="18755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98C90-9AA6-4674-BD88-7C6502C5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cp:lastModifiedBy>Yaned Adiela Guisao Lopez</cp:lastModifiedBy>
  <cp:revision>4</cp:revision>
  <cp:lastPrinted>2017-07-14T15:50:00Z</cp:lastPrinted>
  <dcterms:created xsi:type="dcterms:W3CDTF">2022-06-13T20:46:00Z</dcterms:created>
  <dcterms:modified xsi:type="dcterms:W3CDTF">2024-07-25T22:03:00Z</dcterms:modified>
</cp:coreProperties>
</file>